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2D7" w:rsidRPr="007C17A7" w:rsidRDefault="00365ADA" w:rsidP="00FF52D7">
      <w:pPr>
        <w:shd w:val="clear" w:color="auto" w:fill="FFFFFF" w:themeFill="background1"/>
        <w:spacing w:after="0" w:line="240" w:lineRule="auto"/>
        <w:rPr>
          <w:rFonts w:ascii="Calibri" w:hAnsi="Calibri" w:cs="Calibri"/>
          <w:b/>
          <w:bCs/>
          <w:sz w:val="24"/>
          <w:szCs w:val="24"/>
        </w:rPr>
      </w:pPr>
      <w:r>
        <w:rPr>
          <w:rFonts w:ascii="Calibri" w:eastAsiaTheme="majorEastAsia" w:hAnsi="Calibri" w:cs="Calibri"/>
          <w:bCs/>
          <w:i/>
          <w:noProof/>
          <w:color w:val="1F3864" w:themeColor="accent1" w:themeShade="80"/>
          <w:sz w:val="36"/>
          <w:szCs w:val="36"/>
          <w:lang w:val="en-US"/>
        </w:rPr>
        <w:drawing>
          <wp:anchor distT="0" distB="0" distL="114300" distR="114300" simplePos="0" relativeHeight="251672576" behindDoc="0" locked="0" layoutInCell="1" allowOverlap="1" wp14:anchorId="17A89FA6" wp14:editId="3B015D60">
            <wp:simplePos x="0" y="0"/>
            <wp:positionH relativeFrom="column">
              <wp:posOffset>4335672</wp:posOffset>
            </wp:positionH>
            <wp:positionV relativeFrom="paragraph">
              <wp:posOffset>23941</wp:posOffset>
            </wp:positionV>
            <wp:extent cx="1993724" cy="601213"/>
            <wp:effectExtent l="0" t="0" r="6985" b="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CDC-new-logo + 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998736" cy="602724"/>
                    </a:xfrm>
                    <a:prstGeom prst="rect">
                      <a:avLst/>
                    </a:prstGeom>
                  </pic:spPr>
                </pic:pic>
              </a:graphicData>
            </a:graphic>
            <wp14:sizeRelH relativeFrom="margin">
              <wp14:pctWidth>0</wp14:pctWidth>
            </wp14:sizeRelH>
          </wp:anchor>
        </w:drawing>
      </w:r>
      <w:r>
        <w:rPr>
          <w:rFonts w:eastAsiaTheme="majorEastAsia" w:cs="Calibri"/>
          <w:b/>
          <w:bCs/>
          <w:i/>
          <w:noProof/>
          <w:color w:val="2F5496" w:themeColor="accent1" w:themeShade="BF"/>
          <w:lang w:val="en-US"/>
        </w:rPr>
        <w:drawing>
          <wp:anchor distT="0" distB="0" distL="114300" distR="114300" simplePos="0" relativeHeight="251668480" behindDoc="1" locked="0" layoutInCell="1" allowOverlap="1" wp14:anchorId="5F044C15" wp14:editId="42E79EFD">
            <wp:simplePos x="0" y="0"/>
            <wp:positionH relativeFrom="page">
              <wp:align>center</wp:align>
            </wp:positionH>
            <wp:positionV relativeFrom="paragraph">
              <wp:posOffset>22860</wp:posOffset>
            </wp:positionV>
            <wp:extent cx="854075" cy="600710"/>
            <wp:effectExtent l="0" t="0" r="3175" b="8890"/>
            <wp:wrapTight wrapText="bothSides">
              <wp:wrapPolygon edited="0">
                <wp:start x="0" y="0"/>
                <wp:lineTo x="0" y="21235"/>
                <wp:lineTo x="21199" y="21235"/>
                <wp:lineTo x="2119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jpg"/>
                    <pic:cNvPicPr/>
                  </pic:nvPicPr>
                  <pic:blipFill>
                    <a:blip r:embed="rId6">
                      <a:extLst>
                        <a:ext uri="{28A0092B-C50C-407E-A947-70E740481C1C}">
                          <a14:useLocalDpi xmlns:a14="http://schemas.microsoft.com/office/drawing/2010/main" val="0"/>
                        </a:ext>
                      </a:extLst>
                    </a:blip>
                    <a:stretch>
                      <a:fillRect/>
                    </a:stretch>
                  </pic:blipFill>
                  <pic:spPr>
                    <a:xfrm>
                      <a:off x="0" y="0"/>
                      <a:ext cx="854075" cy="600710"/>
                    </a:xfrm>
                    <a:prstGeom prst="rect">
                      <a:avLst/>
                    </a:prstGeom>
                  </pic:spPr>
                </pic:pic>
              </a:graphicData>
            </a:graphic>
            <wp14:sizeRelH relativeFrom="margin">
              <wp14:pctWidth>0</wp14:pctWidth>
            </wp14:sizeRelH>
            <wp14:sizeRelV relativeFrom="margin">
              <wp14:pctHeight>0</wp14:pctHeight>
            </wp14:sizeRelV>
          </wp:anchor>
        </w:drawing>
      </w:r>
      <w:r w:rsidR="00D7776C">
        <w:rPr>
          <w:rFonts w:ascii="Calibri" w:hAnsi="Calibri" w:cs="Calibri"/>
          <w:b/>
          <w:bCs/>
          <w:noProof/>
          <w:sz w:val="24"/>
          <w:szCs w:val="24"/>
          <w:lang w:val="en-US"/>
        </w:rPr>
        <w:drawing>
          <wp:inline distT="0" distB="0" distL="0" distR="0">
            <wp:extent cx="2023638" cy="5933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OH 1 Logo-ENG.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58151" cy="603507"/>
                    </a:xfrm>
                    <a:prstGeom prst="rect">
                      <a:avLst/>
                    </a:prstGeom>
                  </pic:spPr>
                </pic:pic>
              </a:graphicData>
            </a:graphic>
          </wp:inline>
        </w:drawing>
      </w:r>
    </w:p>
    <w:p w:rsidR="00FF52D7" w:rsidRDefault="00FF52D7" w:rsidP="00FF52D7">
      <w:pPr>
        <w:pStyle w:val="Heading2"/>
        <w:rPr>
          <w:rFonts w:ascii="Calibri" w:eastAsiaTheme="majorEastAsia" w:hAnsi="Calibri" w:cs="Calibri"/>
          <w:b w:val="0"/>
          <w:bCs w:val="0"/>
          <w:i w:val="0"/>
          <w:color w:val="2F5496" w:themeColor="accent1" w:themeShade="BF"/>
        </w:rPr>
      </w:pPr>
      <w:r>
        <w:rPr>
          <w:rFonts w:ascii="Calibri" w:eastAsiaTheme="minorEastAsia" w:hAnsi="Calibri" w:cs="Calibri"/>
        </w:rPr>
        <w:t xml:space="preserve">     </w:t>
      </w:r>
      <w:r w:rsidRPr="00624570">
        <w:rPr>
          <w:rFonts w:ascii="Calibri" w:eastAsiaTheme="majorEastAsia" w:hAnsi="Calibr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lang w:val="ka-GE"/>
        </w:rPr>
        <w:t xml:space="preserve"> </w:t>
      </w:r>
      <w:r w:rsidRPr="00624570">
        <w:rPr>
          <w:rFonts w:ascii="Calibri" w:eastAsiaTheme="majorEastAsia" w:hAnsi="Calibri" w:cs="Calibri"/>
          <w:b w:val="0"/>
          <w:bCs w:val="0"/>
          <w:i w:val="0"/>
          <w:color w:val="2F5496" w:themeColor="accent1" w:themeShade="BF"/>
        </w:rPr>
        <w:t xml:space="preserve">  </w:t>
      </w:r>
      <w:r>
        <w:rPr>
          <w:rFonts w:ascii="Calibri" w:eastAsiaTheme="majorEastAsia" w:hAnsi="Calibr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lang w:val="ka-GE"/>
        </w:rPr>
        <w:t xml:space="preserve">          </w:t>
      </w:r>
      <w:r w:rsidRPr="00624570">
        <w:rPr>
          <w:rFonts w:asciiTheme="minorHAnsi" w:eastAsiaTheme="majorEastAsia" w:hAnsiTheme="minorHAnsi" w:cs="Calibri"/>
          <w:b w:val="0"/>
          <w:bCs w:val="0"/>
          <w:i w:val="0"/>
          <w:color w:val="2F5496" w:themeColor="accent1" w:themeShade="BF"/>
          <w:lang w:val="ka-GE"/>
        </w:rPr>
        <w:tab/>
      </w:r>
      <w:r>
        <w:rPr>
          <w:rFonts w:asciiTheme="minorHAnsi" w:eastAsiaTheme="majorEastAsia" w:hAnsiTheme="minorHAnsi" w:cs="Calibri"/>
          <w:b w:val="0"/>
          <w:bCs w:val="0"/>
          <w:i w:val="0"/>
          <w:color w:val="2F5496" w:themeColor="accent1" w:themeShade="BF"/>
        </w:rPr>
        <w:t xml:space="preserve">                   </w:t>
      </w:r>
      <w:r w:rsidRPr="00624570">
        <w:rPr>
          <w:rFonts w:asciiTheme="minorHAnsi" w:eastAsiaTheme="majorEastAsia" w:hAnsiTheme="minorHAnsi" w:cs="Calibri"/>
          <w:b w:val="0"/>
          <w:bCs w:val="0"/>
          <w:i w:val="0"/>
          <w:color w:val="2F5496" w:themeColor="accent1" w:themeShade="BF"/>
          <w:lang w:val="ka-GE"/>
        </w:rPr>
        <w:tab/>
      </w:r>
      <w:r w:rsidR="00D7776C">
        <w:rPr>
          <w:rFonts w:asciiTheme="minorHAnsi" w:eastAsiaTheme="majorEastAsia" w:hAnsiTheme="minorHAnsi" w:cs="Calibri"/>
          <w:b w:val="0"/>
          <w:bCs w:val="0"/>
          <w:i w:val="0"/>
          <w:color w:val="2F5496" w:themeColor="accent1" w:themeShade="BF"/>
        </w:rPr>
        <w:t xml:space="preserve">     </w:t>
      </w:r>
      <w:r>
        <w:rPr>
          <w:rFonts w:asciiTheme="minorHAnsi" w:eastAsiaTheme="majorEastAsia" w:hAnsiTheme="minorHAnsi" w:cs="Calibri"/>
          <w:b w:val="0"/>
          <w:bCs w:val="0"/>
          <w:i w:val="0"/>
          <w:color w:val="2F5496" w:themeColor="accent1" w:themeShade="BF"/>
        </w:rPr>
        <w:t xml:space="preserve">           </w:t>
      </w:r>
      <w:r w:rsidRPr="00624570">
        <w:rPr>
          <w:rFonts w:ascii="Calibri" w:eastAsiaTheme="majorEastAsia" w:hAnsi="Calibri" w:cs="Calibri"/>
          <w:b w:val="0"/>
          <w:bCs w:val="0"/>
          <w:i w:val="0"/>
          <w:color w:val="2F5496" w:themeColor="accent1" w:themeShade="BF"/>
          <w:lang w:val="ka-GE"/>
        </w:rPr>
        <w:t xml:space="preserve">  </w:t>
      </w:r>
      <w:r w:rsidRPr="00624570">
        <w:rPr>
          <w:rFonts w:ascii="Calibri" w:eastAsiaTheme="majorEastAsia" w:hAnsi="Calibri" w:cs="Calibri"/>
          <w:b w:val="0"/>
          <w:bCs w:val="0"/>
          <w:i w:val="0"/>
          <w:color w:val="2F5496" w:themeColor="accent1" w:themeShade="BF"/>
        </w:rPr>
        <w:t xml:space="preserve">   </w:t>
      </w:r>
    </w:p>
    <w:p w:rsidR="003D5408" w:rsidRPr="0046573A" w:rsidRDefault="003D5408" w:rsidP="00FF52D7">
      <w:pPr>
        <w:pStyle w:val="Heading2"/>
        <w:jc w:val="right"/>
        <w:rPr>
          <w:rFonts w:ascii="Calibri" w:eastAsiaTheme="majorEastAsia" w:hAnsi="Calibri" w:cs="Calibri"/>
          <w:bCs w:val="0"/>
          <w:i w:val="0"/>
          <w:color w:val="1F3864" w:themeColor="accent1" w:themeShade="80"/>
          <w:sz w:val="4"/>
          <w:szCs w:val="4"/>
        </w:rPr>
      </w:pPr>
    </w:p>
    <w:p w:rsidR="00FF52D7" w:rsidRPr="00B97C81" w:rsidRDefault="00FF52D7" w:rsidP="00FF52D7">
      <w:pPr>
        <w:pStyle w:val="Heading2"/>
        <w:jc w:val="right"/>
        <w:rPr>
          <w:rFonts w:ascii="Calibri" w:eastAsiaTheme="majorEastAsia" w:hAnsi="Calibri" w:cs="Calibri"/>
          <w:bCs w:val="0"/>
          <w:i w:val="0"/>
          <w:color w:val="1F3864" w:themeColor="accent1" w:themeShade="80"/>
          <w:sz w:val="32"/>
          <w:szCs w:val="32"/>
        </w:rPr>
      </w:pPr>
      <w:r w:rsidRPr="00B97C81">
        <w:rPr>
          <w:rFonts w:ascii="Calibri" w:eastAsiaTheme="majorEastAsia" w:hAnsi="Calibri" w:cs="Calibri"/>
          <w:bCs w:val="0"/>
          <w:i w:val="0"/>
          <w:color w:val="1F3864" w:themeColor="accent1" w:themeShade="80"/>
          <w:sz w:val="36"/>
          <w:szCs w:val="36"/>
        </w:rPr>
        <w:t>GEORGIA</w:t>
      </w:r>
      <w:r w:rsidRPr="00B97C81">
        <w:rPr>
          <w:rFonts w:ascii="Calibri" w:eastAsiaTheme="majorEastAsia" w:hAnsi="Calibri" w:cs="Calibri"/>
          <w:bCs w:val="0"/>
          <w:color w:val="1F3864" w:themeColor="accent1" w:themeShade="80"/>
          <w:sz w:val="32"/>
          <w:szCs w:val="32"/>
        </w:rPr>
        <w:t xml:space="preserve"> </w:t>
      </w:r>
      <w:r w:rsidRPr="00B97C81">
        <w:rPr>
          <w:rFonts w:ascii="Calibri" w:eastAsiaTheme="majorEastAsia" w:hAnsi="Calibri" w:cs="Calibri"/>
          <w:bCs w:val="0"/>
          <w:color w:val="1F3864" w:themeColor="accent1" w:themeShade="80"/>
          <w:sz w:val="36"/>
          <w:szCs w:val="36"/>
        </w:rPr>
        <w:t>Brief</w:t>
      </w:r>
    </w:p>
    <w:p w:rsidR="00131F19" w:rsidRDefault="00FF52D7" w:rsidP="00886187">
      <w:pPr>
        <w:tabs>
          <w:tab w:val="left" w:pos="5245"/>
        </w:tabs>
        <w:ind w:left="-142" w:firstLine="142"/>
        <w:jc w:val="center"/>
        <w:rPr>
          <w:rFonts w:ascii="Callibri" w:hAnsi="Callibri"/>
          <w:sz w:val="24"/>
          <w:szCs w:val="24"/>
          <w:lang w:val="en-US"/>
        </w:rPr>
      </w:pPr>
      <w:r w:rsidRPr="007C17A7">
        <w:rPr>
          <w:rFonts w:ascii="Calibri" w:hAnsi="Calibri" w:cs="Calibri"/>
          <w:b/>
          <w:bCs/>
          <w:noProof/>
          <w:sz w:val="24"/>
          <w:szCs w:val="24"/>
          <w:lang w:val="en-US"/>
        </w:rPr>
        <mc:AlternateContent>
          <mc:Choice Requires="wps">
            <w:drawing>
              <wp:anchor distT="0" distB="0" distL="114300" distR="114300" simplePos="0" relativeHeight="251659264" behindDoc="0" locked="0" layoutInCell="1" allowOverlap="1" wp14:anchorId="26C0C1D1" wp14:editId="4BD847DE">
                <wp:simplePos x="0" y="0"/>
                <wp:positionH relativeFrom="margin">
                  <wp:align>left</wp:align>
                </wp:positionH>
                <wp:positionV relativeFrom="paragraph">
                  <wp:posOffset>13335</wp:posOffset>
                </wp:positionV>
                <wp:extent cx="6105525" cy="354965"/>
                <wp:effectExtent l="0" t="0" r="28575" b="26035"/>
                <wp:wrapNone/>
                <wp:docPr id="12" name="Round Single Corner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5525" cy="354965"/>
                        </a:xfrm>
                        <a:prstGeom prst="round1Rect">
                          <a:avLst>
                            <a:gd name="adj" fmla="val 0"/>
                          </a:avLst>
                        </a:prstGeom>
                        <a:solidFill>
                          <a:srgbClr val="4F81BD"/>
                        </a:solidFill>
                        <a:ln w="25400" cap="flat" cmpd="sng" algn="ctr">
                          <a:solidFill>
                            <a:srgbClr val="4F81BD">
                              <a:shade val="50000"/>
                            </a:srgbClr>
                          </a:solidFill>
                          <a:prstDash val="solid"/>
                        </a:ln>
                        <a:effectLst/>
                      </wps:spPr>
                      <wps:txbx>
                        <w:txbxContent>
                          <w:p w:rsidR="00FF52D7" w:rsidRPr="00FF52D7" w:rsidRDefault="00FF52D7" w:rsidP="00FF52D7">
                            <w:pPr>
                              <w:rPr>
                                <w:rFonts w:ascii="Callibri" w:hAnsi="Callibri"/>
                                <w:color w:val="FFFFFF" w:themeColor="background1"/>
                                <w:sz w:val="40"/>
                                <w:szCs w:val="40"/>
                                <w:lang w:val="en-US"/>
                              </w:rPr>
                            </w:pPr>
                            <w:r>
                              <w:rPr>
                                <w:rFonts w:ascii="Callibri" w:hAnsi="Callibri"/>
                                <w:color w:val="FFFFFF" w:themeColor="background1"/>
                                <w:sz w:val="40"/>
                                <w:szCs w:val="40"/>
                                <w:lang w:val="en-US"/>
                              </w:rPr>
                              <w:t xml:space="preserve">                         </w:t>
                            </w:r>
                            <w:r w:rsidR="00192D5B">
                              <w:rPr>
                                <w:rFonts w:ascii="Callibri" w:hAnsi="Callibri"/>
                                <w:color w:val="FFFFFF" w:themeColor="background1"/>
                                <w:sz w:val="40"/>
                                <w:szCs w:val="40"/>
                                <w:lang w:val="en-US"/>
                              </w:rPr>
                              <w:t xml:space="preserve">Collaboration with U.S. </w:t>
                            </w:r>
                            <w:r w:rsidRPr="00FF52D7">
                              <w:rPr>
                                <w:rFonts w:ascii="Callibri" w:hAnsi="Callibri"/>
                                <w:color w:val="FFFFFF" w:themeColor="background1"/>
                                <w:sz w:val="40"/>
                                <w:szCs w:val="40"/>
                                <w:lang w:val="en-US"/>
                              </w:rPr>
                              <w:t xml:space="preserve">CDC </w:t>
                            </w:r>
                          </w:p>
                          <w:p w:rsidR="00FF52D7" w:rsidRDefault="00FF52D7" w:rsidP="00FF52D7">
                            <w:pPr>
                              <w:jc w:val="center"/>
                              <w:rPr>
                                <w:rFonts w:ascii="Callibri" w:hAnsi="Callibri"/>
                                <w:sz w:val="24"/>
                                <w:szCs w:val="24"/>
                                <w:lang w:val="en-US"/>
                              </w:rPr>
                            </w:pPr>
                          </w:p>
                          <w:p w:rsidR="00FF52D7" w:rsidRDefault="00FF52D7" w:rsidP="00FF52D7">
                            <w:pPr>
                              <w:spacing w:after="0" w:line="240" w:lineRule="auto"/>
                              <w:ind w:left="72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0C1D1" id="Round Single Corner Rectangle 12" o:spid="_x0000_s1026" style="position:absolute;left:0;text-align:left;margin-left:0;margin-top:1.05pt;width:480.75pt;height:27.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105525,3549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" adj="-11796480,,5400" path="m,l6105525,r,l6105525,354965,,354965,,xe" fillcolor="#4f81bd" strokecolor="#385d8a" strokeweight="2pt">
                <v:stroke joinstyle="miter"/>
                <v:formulas/>
                <v:path arrowok="t" o:connecttype="custom" o:connectlocs="0,0;6105525,0;6105525,0;6105525,354965;0,354965;0,0" o:connectangles="0,0,0,0,0,0" textboxrect="0,0,6105525,354965"/>
                <v:textbox>
                  <w:txbxContent>
                    <w:p w:rsidR="00FF52D7" w:rsidRPr="00FF52D7" w:rsidRDefault="00FF52D7" w:rsidP="00FF52D7">
                      <w:pPr>
                        <w:rPr>
                          <w:rFonts w:ascii="Callibri" w:hAnsi="Callibri"/>
                          <w:color w:val="FFFFFF" w:themeColor="background1"/>
                          <w:sz w:val="40"/>
                          <w:szCs w:val="40"/>
                          <w:lang w:val="en-US"/>
                        </w:rPr>
                      </w:pPr>
                      <w:r>
                        <w:rPr>
                          <w:rFonts w:ascii="Callibri" w:hAnsi="Callibri"/>
                          <w:color w:val="FFFFFF" w:themeColor="background1"/>
                          <w:sz w:val="40"/>
                          <w:szCs w:val="40"/>
                          <w:lang w:val="en-US"/>
                        </w:rPr>
                        <w:t xml:space="preserve">                         </w:t>
                      </w:r>
                      <w:r w:rsidR="00192D5B">
                        <w:rPr>
                          <w:rFonts w:ascii="Callibri" w:hAnsi="Callibri"/>
                          <w:color w:val="FFFFFF" w:themeColor="background1"/>
                          <w:sz w:val="40"/>
                          <w:szCs w:val="40"/>
                          <w:lang w:val="en-US"/>
                        </w:rPr>
                        <w:t xml:space="preserve">Collaboration with U.S. </w:t>
                      </w:r>
                      <w:r w:rsidRPr="00FF52D7">
                        <w:rPr>
                          <w:rFonts w:ascii="Callibri" w:hAnsi="Callibri"/>
                          <w:color w:val="FFFFFF" w:themeColor="background1"/>
                          <w:sz w:val="40"/>
                          <w:szCs w:val="40"/>
                          <w:lang w:val="en-US"/>
                        </w:rPr>
                        <w:t xml:space="preserve">CDC </w:t>
                      </w:r>
                    </w:p>
                    <w:p w:rsidR="00FF52D7" w:rsidRDefault="00FF52D7" w:rsidP="00FF52D7">
                      <w:pPr>
                        <w:jc w:val="center"/>
                        <w:rPr>
                          <w:rFonts w:ascii="Callibri" w:hAnsi="Callibri"/>
                          <w:sz w:val="24"/>
                          <w:szCs w:val="24"/>
                          <w:lang w:val="en-US"/>
                        </w:rPr>
                      </w:pPr>
                    </w:p>
                    <w:p w:rsidR="00FF52D7" w:rsidRDefault="00FF52D7" w:rsidP="00FF52D7">
                      <w:pPr>
                        <w:spacing w:after="0" w:line="240" w:lineRule="auto"/>
                        <w:ind w:left="720"/>
                        <w:jc w:val="center"/>
                      </w:pPr>
                    </w:p>
                  </w:txbxContent>
                </v:textbox>
                <w10:wrap anchorx="margin"/>
              </v:shape>
            </w:pict>
          </mc:Fallback>
        </mc:AlternateContent>
      </w:r>
    </w:p>
    <w:p w:rsidR="00FF52D7" w:rsidRPr="00A03761" w:rsidRDefault="00FF52D7" w:rsidP="00131F19">
      <w:pPr>
        <w:jc w:val="center"/>
        <w:rPr>
          <w:rFonts w:ascii="Callibri" w:hAnsi="Callibri"/>
          <w:color w:val="002060"/>
          <w:sz w:val="10"/>
          <w:szCs w:val="10"/>
          <w:lang w:val="en-US"/>
        </w:rPr>
      </w:pPr>
    </w:p>
    <w:p w:rsidR="005B3DAB" w:rsidRPr="00967693" w:rsidRDefault="00131F19" w:rsidP="00131F19">
      <w:pPr>
        <w:spacing w:after="120" w:line="276" w:lineRule="auto"/>
        <w:jc w:val="both"/>
        <w:rPr>
          <w:rFonts w:ascii="Calibri" w:hAnsi="Calibri"/>
          <w:sz w:val="23"/>
          <w:szCs w:val="23"/>
          <w:lang w:val="en-US"/>
        </w:rPr>
      </w:pPr>
      <w:r w:rsidRPr="00967693">
        <w:rPr>
          <w:rFonts w:ascii="Calibri" w:hAnsi="Calibri"/>
          <w:sz w:val="23"/>
          <w:szCs w:val="23"/>
          <w:lang w:val="en-US"/>
        </w:rPr>
        <w:t>U.</w:t>
      </w:r>
      <w:r w:rsidR="00CB4BCC" w:rsidRPr="00967693">
        <w:rPr>
          <w:noProof/>
          <w:sz w:val="23"/>
          <w:szCs w:val="23"/>
          <w:lang w:eastAsia="ka-GE"/>
        </w:rPr>
        <w:t xml:space="preserve"> </w:t>
      </w:r>
      <w:r w:rsidRPr="00967693">
        <w:rPr>
          <w:rFonts w:ascii="Calibri" w:hAnsi="Calibri"/>
          <w:sz w:val="23"/>
          <w:szCs w:val="23"/>
          <w:lang w:val="en-US"/>
        </w:rPr>
        <w:t xml:space="preserve">S. Centers for Disease Control and Prevention (CDC) is one of the primary </w:t>
      </w:r>
      <w:r w:rsidR="007A13CE" w:rsidRPr="00967693">
        <w:rPr>
          <w:rFonts w:ascii="Calibri" w:hAnsi="Calibri"/>
          <w:sz w:val="23"/>
          <w:szCs w:val="23"/>
          <w:lang w:val="en-US"/>
        </w:rPr>
        <w:t xml:space="preserve">international </w:t>
      </w:r>
      <w:r w:rsidRPr="00967693">
        <w:rPr>
          <w:rFonts w:ascii="Calibri" w:hAnsi="Calibri"/>
          <w:sz w:val="23"/>
          <w:szCs w:val="23"/>
          <w:lang w:val="en-US"/>
        </w:rPr>
        <w:t xml:space="preserve">partners and a long-term collaborator institutions for the </w:t>
      </w:r>
      <w:r w:rsidR="007D6030" w:rsidRPr="00967693">
        <w:rPr>
          <w:rFonts w:ascii="Calibri" w:hAnsi="Calibri"/>
          <w:sz w:val="23"/>
          <w:szCs w:val="23"/>
          <w:lang w:val="en-US"/>
        </w:rPr>
        <w:t xml:space="preserve">Ministry of </w:t>
      </w:r>
      <w:r w:rsidR="0033649D">
        <w:rPr>
          <w:rFonts w:ascii="Calibri" w:hAnsi="Calibri"/>
          <w:sz w:val="23"/>
          <w:szCs w:val="23"/>
          <w:lang w:val="en-US"/>
        </w:rPr>
        <w:t xml:space="preserve">Internally Displaced Persons, </w:t>
      </w:r>
      <w:proofErr w:type="spellStart"/>
      <w:r w:rsidR="007D6030" w:rsidRPr="00967693">
        <w:rPr>
          <w:rFonts w:ascii="Calibri" w:hAnsi="Calibri"/>
          <w:sz w:val="23"/>
          <w:szCs w:val="23"/>
          <w:lang w:val="en-US"/>
        </w:rPr>
        <w:t>Labour</w:t>
      </w:r>
      <w:proofErr w:type="spellEnd"/>
      <w:r w:rsidR="007D6030" w:rsidRPr="00967693">
        <w:rPr>
          <w:rFonts w:ascii="Calibri" w:hAnsi="Calibri"/>
          <w:sz w:val="23"/>
          <w:szCs w:val="23"/>
          <w:lang w:val="en-US"/>
        </w:rPr>
        <w:t xml:space="preserve">, Health and Social Affairs and the Health System of Georgia in general. </w:t>
      </w:r>
      <w:r w:rsidR="005B3DAB" w:rsidRPr="00967693">
        <w:rPr>
          <w:rFonts w:ascii="Calibri" w:hAnsi="Calibri"/>
          <w:sz w:val="23"/>
          <w:szCs w:val="23"/>
          <w:lang w:val="en-US"/>
        </w:rPr>
        <w:t xml:space="preserve">The collaboration </w:t>
      </w:r>
      <w:r w:rsidR="007D6030" w:rsidRPr="00967693">
        <w:rPr>
          <w:rFonts w:ascii="Calibri" w:hAnsi="Calibri"/>
          <w:sz w:val="23"/>
          <w:szCs w:val="23"/>
          <w:lang w:val="en-US"/>
        </w:rPr>
        <w:t xml:space="preserve">with CDC / Atlanta </w:t>
      </w:r>
      <w:r w:rsidR="005B3DAB" w:rsidRPr="00967693">
        <w:rPr>
          <w:rFonts w:ascii="Calibri" w:hAnsi="Calibri"/>
          <w:sz w:val="23"/>
          <w:szCs w:val="23"/>
          <w:lang w:val="en-US"/>
        </w:rPr>
        <w:t>started in early 90’es of the</w:t>
      </w:r>
      <w:r w:rsidR="007D6030" w:rsidRPr="00967693">
        <w:rPr>
          <w:rFonts w:ascii="Calibri" w:hAnsi="Calibri"/>
          <w:sz w:val="23"/>
          <w:szCs w:val="23"/>
          <w:lang w:val="en-US"/>
        </w:rPr>
        <w:t xml:space="preserve"> previous century. The U.S.</w:t>
      </w:r>
      <w:r w:rsidR="005B3DAB" w:rsidRPr="00967693">
        <w:rPr>
          <w:rFonts w:ascii="Calibri" w:hAnsi="Calibri"/>
          <w:sz w:val="23"/>
          <w:szCs w:val="23"/>
          <w:lang w:val="en-US"/>
        </w:rPr>
        <w:t xml:space="preserve"> CDC’s structural and functional model was used </w:t>
      </w:r>
      <w:r w:rsidR="00192D5B" w:rsidRPr="00967693">
        <w:rPr>
          <w:rFonts w:ascii="Calibri" w:hAnsi="Calibri"/>
          <w:sz w:val="23"/>
          <w:szCs w:val="23"/>
          <w:lang w:val="en-US"/>
        </w:rPr>
        <w:t>during establishment of</w:t>
      </w:r>
      <w:r w:rsidR="00886187" w:rsidRPr="00967693">
        <w:rPr>
          <w:rFonts w:ascii="Calibri" w:hAnsi="Calibri"/>
          <w:sz w:val="23"/>
          <w:szCs w:val="23"/>
          <w:lang w:val="en-US"/>
        </w:rPr>
        <w:t xml:space="preserve"> the </w:t>
      </w:r>
      <w:r w:rsidR="005B3DAB" w:rsidRPr="00967693">
        <w:rPr>
          <w:rFonts w:ascii="Calibri" w:hAnsi="Calibri"/>
          <w:sz w:val="23"/>
          <w:szCs w:val="23"/>
          <w:lang w:val="en-US"/>
        </w:rPr>
        <w:t>National Center for Disease Control of Georgia</w:t>
      </w:r>
      <w:r w:rsidR="007D6030" w:rsidRPr="00967693">
        <w:rPr>
          <w:rFonts w:ascii="Calibri" w:hAnsi="Calibri"/>
          <w:sz w:val="23"/>
          <w:szCs w:val="23"/>
          <w:lang w:val="en-US"/>
        </w:rPr>
        <w:t xml:space="preserve"> in 1996</w:t>
      </w:r>
      <w:r w:rsidR="005B3DAB" w:rsidRPr="00967693">
        <w:rPr>
          <w:rFonts w:ascii="Calibri" w:hAnsi="Calibri"/>
          <w:sz w:val="23"/>
          <w:szCs w:val="23"/>
          <w:lang w:val="en-US"/>
        </w:rPr>
        <w:t xml:space="preserve">. </w:t>
      </w:r>
    </w:p>
    <w:p w:rsidR="00E3310D" w:rsidRPr="00967693" w:rsidRDefault="005B3DAB" w:rsidP="005B3DAB">
      <w:pPr>
        <w:spacing w:after="120" w:line="276" w:lineRule="auto"/>
        <w:jc w:val="both"/>
        <w:rPr>
          <w:rFonts w:ascii="Calibri" w:hAnsi="Calibri"/>
          <w:sz w:val="23"/>
          <w:szCs w:val="23"/>
          <w:lang w:val="en-US"/>
        </w:rPr>
      </w:pPr>
      <w:r w:rsidRPr="00967693">
        <w:rPr>
          <w:rFonts w:ascii="Calibri" w:hAnsi="Calibri"/>
          <w:sz w:val="23"/>
          <w:szCs w:val="23"/>
          <w:lang w:val="en-US"/>
        </w:rPr>
        <w:t xml:space="preserve">The first mission of CDC in Georgia took place in 1994-1996. </w:t>
      </w:r>
      <w:r w:rsidR="00E3310D" w:rsidRPr="00967693">
        <w:rPr>
          <w:rFonts w:ascii="Calibri" w:hAnsi="Calibri"/>
          <w:sz w:val="23"/>
          <w:szCs w:val="23"/>
          <w:lang w:val="en-US"/>
        </w:rPr>
        <w:t>Within the scope of the mission the first cohort of Georgian epidemiologists was trained. The priority areas of the mission w</w:t>
      </w:r>
      <w:r w:rsidR="007D6030" w:rsidRPr="00967693">
        <w:rPr>
          <w:rFonts w:ascii="Calibri" w:hAnsi="Calibri"/>
          <w:sz w:val="23"/>
          <w:szCs w:val="23"/>
          <w:lang w:val="en-US"/>
        </w:rPr>
        <w:t>er</w:t>
      </w:r>
      <w:r w:rsidR="00E3310D" w:rsidRPr="00967693">
        <w:rPr>
          <w:rFonts w:ascii="Calibri" w:hAnsi="Calibri"/>
          <w:sz w:val="23"/>
          <w:szCs w:val="23"/>
          <w:lang w:val="en-US"/>
        </w:rPr>
        <w:t xml:space="preserve">e: </w:t>
      </w:r>
      <w:r w:rsidR="007D6030" w:rsidRPr="00967693">
        <w:rPr>
          <w:rFonts w:ascii="Calibri" w:hAnsi="Calibri"/>
          <w:sz w:val="23"/>
          <w:szCs w:val="23"/>
          <w:lang w:val="en-US"/>
        </w:rPr>
        <w:t>diphtheria and vaccine-preventable diseases</w:t>
      </w:r>
      <w:r w:rsidR="00E3310D" w:rsidRPr="00967693">
        <w:rPr>
          <w:rFonts w:ascii="Calibri" w:hAnsi="Calibri"/>
          <w:sz w:val="23"/>
          <w:szCs w:val="23"/>
          <w:lang w:val="en-US"/>
        </w:rPr>
        <w:t xml:space="preserve">. </w:t>
      </w:r>
      <w:r w:rsidR="007D6030" w:rsidRPr="00967693">
        <w:rPr>
          <w:rFonts w:ascii="Calibri" w:hAnsi="Calibri"/>
          <w:sz w:val="23"/>
          <w:szCs w:val="23"/>
          <w:lang w:val="en-US"/>
        </w:rPr>
        <w:t xml:space="preserve">One among the </w:t>
      </w:r>
      <w:r w:rsidR="00E3310D" w:rsidRPr="00967693">
        <w:rPr>
          <w:rFonts w:ascii="Calibri" w:hAnsi="Calibri"/>
          <w:sz w:val="23"/>
          <w:szCs w:val="23"/>
          <w:lang w:val="en-US"/>
        </w:rPr>
        <w:t>several surveys</w:t>
      </w:r>
      <w:r w:rsidR="007D6030" w:rsidRPr="00967693">
        <w:rPr>
          <w:rFonts w:ascii="Calibri" w:hAnsi="Calibri"/>
          <w:sz w:val="23"/>
          <w:szCs w:val="23"/>
          <w:lang w:val="en-US"/>
        </w:rPr>
        <w:t xml:space="preserve">, conducted </w:t>
      </w:r>
      <w:r w:rsidR="00E3310D" w:rsidRPr="00967693">
        <w:rPr>
          <w:rFonts w:ascii="Calibri" w:hAnsi="Calibri"/>
          <w:sz w:val="23"/>
          <w:szCs w:val="23"/>
          <w:lang w:val="en-US"/>
        </w:rPr>
        <w:t>through the support of the CDC/ Atlanta</w:t>
      </w:r>
      <w:r w:rsidR="007D6030" w:rsidRPr="00967693">
        <w:rPr>
          <w:rFonts w:ascii="Calibri" w:hAnsi="Calibri"/>
          <w:sz w:val="23"/>
          <w:szCs w:val="23"/>
          <w:lang w:val="en-US"/>
        </w:rPr>
        <w:t xml:space="preserve"> was the most remarkable - </w:t>
      </w:r>
      <w:r w:rsidR="00E3310D" w:rsidRPr="00967693">
        <w:rPr>
          <w:rFonts w:ascii="Calibri" w:hAnsi="Calibri"/>
          <w:sz w:val="23"/>
          <w:szCs w:val="23"/>
          <w:lang w:val="en-US"/>
        </w:rPr>
        <w:t>Diphtheria Survey</w:t>
      </w:r>
      <w:r w:rsidR="007D6030" w:rsidRPr="00967693">
        <w:rPr>
          <w:rFonts w:ascii="Calibri" w:hAnsi="Calibri"/>
          <w:sz w:val="23"/>
          <w:szCs w:val="23"/>
          <w:lang w:val="en-US"/>
        </w:rPr>
        <w:t>. By that time p</w:t>
      </w:r>
      <w:r w:rsidR="00E3310D" w:rsidRPr="00967693">
        <w:rPr>
          <w:rFonts w:ascii="Calibri" w:hAnsi="Calibri"/>
          <w:sz w:val="23"/>
          <w:szCs w:val="23"/>
          <w:lang w:val="en-US"/>
        </w:rPr>
        <w:t>ublishing of Epidemiological Bulletin was initiated.</w:t>
      </w:r>
    </w:p>
    <w:p w:rsidR="00E3310D" w:rsidRPr="00967693" w:rsidRDefault="004E7E10" w:rsidP="005B3DAB">
      <w:pPr>
        <w:spacing w:after="120" w:line="276" w:lineRule="auto"/>
        <w:jc w:val="both"/>
        <w:rPr>
          <w:rFonts w:ascii="Calibri" w:hAnsi="Calibri"/>
          <w:sz w:val="23"/>
          <w:szCs w:val="23"/>
          <w:lang w:val="en-US"/>
        </w:rPr>
      </w:pPr>
      <w:r w:rsidRPr="00967693">
        <w:rPr>
          <w:rFonts w:ascii="Calibri" w:hAnsi="Calibri"/>
          <w:noProof/>
          <w:sz w:val="23"/>
          <w:szCs w:val="23"/>
          <w:lang w:val="en-US"/>
        </w:rPr>
        <w:drawing>
          <wp:anchor distT="0" distB="0" distL="114300" distR="114300" simplePos="0" relativeHeight="251660288" behindDoc="1" locked="0" layoutInCell="1" allowOverlap="1" wp14:anchorId="08789C78" wp14:editId="16175561">
            <wp:simplePos x="0" y="0"/>
            <wp:positionH relativeFrom="margin">
              <wp:align>left</wp:align>
            </wp:positionH>
            <wp:positionV relativeFrom="paragraph">
              <wp:posOffset>5715</wp:posOffset>
            </wp:positionV>
            <wp:extent cx="1257300" cy="1096645"/>
            <wp:effectExtent l="0" t="0" r="0" b="8255"/>
            <wp:wrapTight wrapText="bothSides">
              <wp:wrapPolygon edited="0">
                <wp:start x="0" y="0"/>
                <wp:lineTo x="0" y="21387"/>
                <wp:lineTo x="21273" y="21387"/>
                <wp:lineTo x="2127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7300" cy="1096645"/>
                    </a:xfrm>
                    <a:prstGeom prst="rect">
                      <a:avLst/>
                    </a:prstGeom>
                  </pic:spPr>
                </pic:pic>
              </a:graphicData>
            </a:graphic>
          </wp:anchor>
        </w:drawing>
      </w:r>
      <w:r w:rsidR="00E3310D" w:rsidRPr="00967693">
        <w:rPr>
          <w:rFonts w:ascii="Calibri" w:hAnsi="Calibri"/>
          <w:sz w:val="23"/>
          <w:szCs w:val="23"/>
          <w:lang w:val="en-US"/>
        </w:rPr>
        <w:t>In 1996 the first joint conference with the CDC/Atlanta “Public Health Today: Vision of Tomorrow” was dedicated to public health surveillance and information systems.</w:t>
      </w:r>
    </w:p>
    <w:p w:rsidR="000E4AB6" w:rsidRPr="00967693" w:rsidRDefault="00E302DA" w:rsidP="005B3DAB">
      <w:pPr>
        <w:spacing w:after="120" w:line="276" w:lineRule="auto"/>
        <w:jc w:val="both"/>
        <w:rPr>
          <w:rFonts w:ascii="Calibri" w:hAnsi="Calibri"/>
          <w:sz w:val="23"/>
          <w:szCs w:val="23"/>
          <w:lang w:val="en-US"/>
        </w:rPr>
      </w:pPr>
      <w:r w:rsidRPr="00967693">
        <w:rPr>
          <w:rFonts w:ascii="Calibri" w:hAnsi="Calibri"/>
          <w:noProof/>
          <w:sz w:val="23"/>
          <w:szCs w:val="23"/>
          <w:lang w:val="en-US"/>
        </w:rPr>
        <w:drawing>
          <wp:anchor distT="0" distB="0" distL="114300" distR="114300" simplePos="0" relativeHeight="251662336" behindDoc="1" locked="0" layoutInCell="1" allowOverlap="1" wp14:anchorId="6D11BC54" wp14:editId="5C72C98A">
            <wp:simplePos x="0" y="0"/>
            <wp:positionH relativeFrom="margin">
              <wp:align>left</wp:align>
            </wp:positionH>
            <wp:positionV relativeFrom="paragraph">
              <wp:posOffset>1993265</wp:posOffset>
            </wp:positionV>
            <wp:extent cx="1435735" cy="1209675"/>
            <wp:effectExtent l="0" t="0" r="0" b="0"/>
            <wp:wrapTight wrapText="bothSides">
              <wp:wrapPolygon edited="0">
                <wp:start x="0" y="0"/>
                <wp:lineTo x="0" y="21090"/>
                <wp:lineTo x="21208" y="21090"/>
                <wp:lineTo x="2120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37348" cy="1210983"/>
                    </a:xfrm>
                    <a:prstGeom prst="rect">
                      <a:avLst/>
                    </a:prstGeom>
                  </pic:spPr>
                </pic:pic>
              </a:graphicData>
            </a:graphic>
            <wp14:sizeRelH relativeFrom="margin">
              <wp14:pctWidth>0</wp14:pctWidth>
            </wp14:sizeRelH>
            <wp14:sizeRelV relativeFrom="margin">
              <wp14:pctHeight>0</wp14:pctHeight>
            </wp14:sizeRelV>
          </wp:anchor>
        </w:drawing>
      </w:r>
      <w:r w:rsidR="004E7E10" w:rsidRPr="00967693">
        <w:rPr>
          <w:rFonts w:ascii="Calibri" w:hAnsi="Calibri"/>
          <w:noProof/>
          <w:sz w:val="23"/>
          <w:szCs w:val="23"/>
          <w:lang w:val="en-US"/>
        </w:rPr>
        <w:drawing>
          <wp:anchor distT="0" distB="0" distL="114300" distR="114300" simplePos="0" relativeHeight="251661312" behindDoc="1" locked="0" layoutInCell="1" allowOverlap="1" wp14:anchorId="3AAAAA0B" wp14:editId="404A4BF3">
            <wp:simplePos x="0" y="0"/>
            <wp:positionH relativeFrom="margin">
              <wp:align>right</wp:align>
            </wp:positionH>
            <wp:positionV relativeFrom="paragraph">
              <wp:posOffset>12065</wp:posOffset>
            </wp:positionV>
            <wp:extent cx="1457325" cy="2061210"/>
            <wp:effectExtent l="0" t="0" r="9525" b="0"/>
            <wp:wrapTight wrapText="bothSides">
              <wp:wrapPolygon edited="0">
                <wp:start x="0" y="0"/>
                <wp:lineTo x="0" y="21360"/>
                <wp:lineTo x="21459" y="21360"/>
                <wp:lineTo x="21459"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jpg"/>
                    <pic:cNvPicPr/>
                  </pic:nvPicPr>
                  <pic:blipFill>
                    <a:blip r:embed="rId10">
                      <a:extLst>
                        <a:ext uri="{28A0092B-C50C-407E-A947-70E740481C1C}">
                          <a14:useLocalDpi xmlns:a14="http://schemas.microsoft.com/office/drawing/2010/main" val="0"/>
                        </a:ext>
                      </a:extLst>
                    </a:blip>
                    <a:stretch>
                      <a:fillRect/>
                    </a:stretch>
                  </pic:blipFill>
                  <pic:spPr>
                    <a:xfrm>
                      <a:off x="0" y="0"/>
                      <a:ext cx="1457325" cy="2061210"/>
                    </a:xfrm>
                    <a:prstGeom prst="rect">
                      <a:avLst/>
                    </a:prstGeom>
                  </pic:spPr>
                </pic:pic>
              </a:graphicData>
            </a:graphic>
            <wp14:sizeRelH relativeFrom="margin">
              <wp14:pctWidth>0</wp14:pctWidth>
            </wp14:sizeRelH>
            <wp14:sizeRelV relativeFrom="margin">
              <wp14:pctHeight>0</wp14:pctHeight>
            </wp14:sizeRelV>
          </wp:anchor>
        </w:drawing>
      </w:r>
      <w:r w:rsidR="008407F3" w:rsidRPr="00967693">
        <w:rPr>
          <w:rFonts w:ascii="Calibri" w:hAnsi="Calibri"/>
          <w:sz w:val="23"/>
          <w:szCs w:val="23"/>
          <w:lang w:val="en-US"/>
        </w:rPr>
        <w:t>Since the late 90’</w:t>
      </w:r>
      <w:r w:rsidR="000E4AB6" w:rsidRPr="00967693">
        <w:rPr>
          <w:rFonts w:ascii="Calibri" w:hAnsi="Calibri"/>
          <w:sz w:val="23"/>
          <w:szCs w:val="23"/>
          <w:lang w:val="en-US"/>
        </w:rPr>
        <w:t xml:space="preserve">es three large-scale surveys (1999, 2005, 2010) on Reproductive Health have been conducted in Georgia with the technical assistance from CDC / Atlanta along with the support of other international organizations (USAID, UNFPA, UNICEF, UNHCR, AIHA).  The goal of the RHS was to provide the Ministry of </w:t>
      </w:r>
      <w:proofErr w:type="spellStart"/>
      <w:r w:rsidR="000E4AB6" w:rsidRPr="00967693">
        <w:rPr>
          <w:rFonts w:ascii="Calibri" w:hAnsi="Calibri"/>
          <w:sz w:val="23"/>
          <w:szCs w:val="23"/>
          <w:lang w:val="en-US"/>
        </w:rPr>
        <w:t>Labour</w:t>
      </w:r>
      <w:proofErr w:type="spellEnd"/>
      <w:r w:rsidR="000E4AB6" w:rsidRPr="00967693">
        <w:rPr>
          <w:rFonts w:ascii="Calibri" w:hAnsi="Calibri"/>
          <w:sz w:val="23"/>
          <w:szCs w:val="23"/>
          <w:lang w:val="en-US"/>
        </w:rPr>
        <w:t xml:space="preserve">, Health and Social Affairs, international organizations, governmental and non-governmental </w:t>
      </w:r>
      <w:r w:rsidR="00886187" w:rsidRPr="00967693">
        <w:rPr>
          <w:rFonts w:ascii="Calibri" w:hAnsi="Calibri"/>
          <w:sz w:val="23"/>
          <w:szCs w:val="23"/>
          <w:lang w:val="en-US"/>
        </w:rPr>
        <w:t>sector</w:t>
      </w:r>
      <w:r w:rsidR="000E4AB6" w:rsidRPr="00967693">
        <w:rPr>
          <w:rFonts w:ascii="Calibri" w:hAnsi="Calibri"/>
          <w:sz w:val="23"/>
          <w:szCs w:val="23"/>
          <w:lang w:val="en-US"/>
        </w:rPr>
        <w:t xml:space="preserve"> working with mothers and children, with the information and indicators related to: pregnancy and child birth, sexual activity, contraception, abortions, health services for women, maternal and child health, women’s health, etc. </w:t>
      </w:r>
    </w:p>
    <w:p w:rsidR="00753D34" w:rsidRPr="00967693" w:rsidRDefault="00E302DA" w:rsidP="005B3DAB">
      <w:pPr>
        <w:spacing w:after="120" w:line="276" w:lineRule="auto"/>
        <w:jc w:val="both"/>
        <w:rPr>
          <w:rFonts w:ascii="Calibri" w:hAnsi="Calibri"/>
          <w:sz w:val="23"/>
          <w:szCs w:val="23"/>
          <w:lang w:val="en-US"/>
        </w:rPr>
      </w:pPr>
      <w:r w:rsidRPr="00967693">
        <w:rPr>
          <w:rFonts w:ascii="Calibri" w:hAnsi="Calibri"/>
          <w:noProof/>
          <w:sz w:val="23"/>
          <w:szCs w:val="23"/>
          <w:lang w:val="en-US"/>
        </w:rPr>
        <w:drawing>
          <wp:anchor distT="0" distB="0" distL="114300" distR="114300" simplePos="0" relativeHeight="251663360" behindDoc="1" locked="0" layoutInCell="1" allowOverlap="1" wp14:anchorId="23B00028" wp14:editId="3202BB39">
            <wp:simplePos x="0" y="0"/>
            <wp:positionH relativeFrom="margin">
              <wp:align>right</wp:align>
            </wp:positionH>
            <wp:positionV relativeFrom="paragraph">
              <wp:posOffset>223520</wp:posOffset>
            </wp:positionV>
            <wp:extent cx="1104900" cy="1477645"/>
            <wp:effectExtent l="0" t="0" r="0" b="8255"/>
            <wp:wrapTight wrapText="bothSides">
              <wp:wrapPolygon edited="0">
                <wp:start x="0" y="0"/>
                <wp:lineTo x="0" y="21442"/>
                <wp:lineTo x="21228" y="21442"/>
                <wp:lineTo x="2122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5.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4900" cy="1477645"/>
                    </a:xfrm>
                    <a:prstGeom prst="rect">
                      <a:avLst/>
                    </a:prstGeom>
                  </pic:spPr>
                </pic:pic>
              </a:graphicData>
            </a:graphic>
            <wp14:sizeRelH relativeFrom="margin">
              <wp14:pctWidth>0</wp14:pctWidth>
            </wp14:sizeRelH>
            <wp14:sizeRelV relativeFrom="margin">
              <wp14:pctHeight>0</wp14:pctHeight>
            </wp14:sizeRelV>
          </wp:anchor>
        </w:drawing>
      </w:r>
      <w:r w:rsidR="009C388C" w:rsidRPr="00967693">
        <w:rPr>
          <w:rFonts w:ascii="Calibri" w:hAnsi="Calibri"/>
          <w:sz w:val="23"/>
          <w:szCs w:val="23"/>
          <w:lang w:val="en-US"/>
        </w:rPr>
        <w:t xml:space="preserve">Since </w:t>
      </w:r>
      <w:r w:rsidR="00886187" w:rsidRPr="00967693">
        <w:rPr>
          <w:rFonts w:ascii="Calibri" w:hAnsi="Calibri"/>
          <w:sz w:val="23"/>
          <w:szCs w:val="23"/>
          <w:lang w:val="en-US"/>
        </w:rPr>
        <w:t xml:space="preserve">2001 through </w:t>
      </w:r>
      <w:r w:rsidR="009C388C" w:rsidRPr="00967693">
        <w:rPr>
          <w:rFonts w:ascii="Calibri" w:hAnsi="Calibri"/>
          <w:sz w:val="23"/>
          <w:szCs w:val="23"/>
          <w:lang w:val="en-US"/>
        </w:rPr>
        <w:t xml:space="preserve">BTEP / ISTC projects in collaboration with CDC epidemiological </w:t>
      </w:r>
      <w:r w:rsidR="00500EC4" w:rsidRPr="00967693">
        <w:rPr>
          <w:rFonts w:ascii="Calibri" w:hAnsi="Calibri"/>
          <w:sz w:val="23"/>
          <w:szCs w:val="23"/>
          <w:lang w:val="en-US"/>
        </w:rPr>
        <w:t xml:space="preserve">challenges of botulism, helicobacter, AMR, Tuberculosis, </w:t>
      </w:r>
      <w:proofErr w:type="spellStart"/>
      <w:r w:rsidR="00500EC4" w:rsidRPr="00967693">
        <w:rPr>
          <w:rFonts w:ascii="Calibri" w:hAnsi="Calibri"/>
          <w:sz w:val="23"/>
          <w:szCs w:val="23"/>
          <w:lang w:val="en-US"/>
        </w:rPr>
        <w:t>am</w:t>
      </w:r>
      <w:r w:rsidR="0048227C" w:rsidRPr="00967693">
        <w:rPr>
          <w:rFonts w:ascii="Calibri" w:hAnsi="Calibri"/>
          <w:sz w:val="23"/>
          <w:szCs w:val="23"/>
          <w:lang w:val="en-US"/>
        </w:rPr>
        <w:t>e</w:t>
      </w:r>
      <w:r w:rsidR="00500EC4" w:rsidRPr="00967693">
        <w:rPr>
          <w:rFonts w:ascii="Calibri" w:hAnsi="Calibri"/>
          <w:sz w:val="23"/>
          <w:szCs w:val="23"/>
          <w:lang w:val="en-US"/>
        </w:rPr>
        <w:t>bias</w:t>
      </w:r>
      <w:r w:rsidR="0048227C" w:rsidRPr="00967693">
        <w:rPr>
          <w:rFonts w:ascii="Calibri" w:hAnsi="Calibri"/>
          <w:sz w:val="23"/>
          <w:szCs w:val="23"/>
          <w:lang w:val="en-US"/>
        </w:rPr>
        <w:t>is</w:t>
      </w:r>
      <w:proofErr w:type="spellEnd"/>
      <w:r w:rsidR="0048227C" w:rsidRPr="00967693">
        <w:rPr>
          <w:rFonts w:ascii="Calibri" w:hAnsi="Calibri"/>
          <w:sz w:val="23"/>
          <w:szCs w:val="23"/>
          <w:lang w:val="en-US"/>
        </w:rPr>
        <w:t xml:space="preserve"> and other public health issues </w:t>
      </w:r>
      <w:r w:rsidR="00753D34" w:rsidRPr="00967693">
        <w:rPr>
          <w:rFonts w:ascii="Calibri" w:hAnsi="Calibri"/>
          <w:sz w:val="23"/>
          <w:szCs w:val="23"/>
          <w:lang w:val="en-US"/>
        </w:rPr>
        <w:t>we</w:t>
      </w:r>
      <w:r w:rsidR="0048227C" w:rsidRPr="00967693">
        <w:rPr>
          <w:rFonts w:ascii="Calibri" w:hAnsi="Calibri"/>
          <w:sz w:val="23"/>
          <w:szCs w:val="23"/>
          <w:lang w:val="en-US"/>
        </w:rPr>
        <w:t>re investigated during the studies</w:t>
      </w:r>
      <w:r w:rsidR="00753D34" w:rsidRPr="00967693">
        <w:rPr>
          <w:rFonts w:ascii="Calibri" w:hAnsi="Calibri"/>
          <w:sz w:val="23"/>
          <w:szCs w:val="23"/>
          <w:lang w:val="en-US"/>
        </w:rPr>
        <w:t>.</w:t>
      </w:r>
    </w:p>
    <w:p w:rsidR="007A13CE" w:rsidRPr="00967693" w:rsidRDefault="00192D5B" w:rsidP="005B3DAB">
      <w:pPr>
        <w:spacing w:after="120" w:line="276" w:lineRule="auto"/>
        <w:jc w:val="both"/>
        <w:rPr>
          <w:rFonts w:ascii="Calibri" w:hAnsi="Calibri"/>
          <w:sz w:val="23"/>
          <w:szCs w:val="23"/>
          <w:lang w:val="en-US"/>
        </w:rPr>
      </w:pPr>
      <w:r w:rsidRPr="00967693">
        <w:rPr>
          <w:rFonts w:ascii="Calibri" w:hAnsi="Calibri"/>
          <w:sz w:val="23"/>
          <w:szCs w:val="23"/>
          <w:lang w:val="en-US"/>
        </w:rPr>
        <w:t>In 2009</w:t>
      </w:r>
      <w:r w:rsidR="007A13CE" w:rsidRPr="00967693">
        <w:rPr>
          <w:rFonts w:ascii="Calibri" w:hAnsi="Calibri"/>
          <w:sz w:val="23"/>
          <w:szCs w:val="23"/>
          <w:lang w:val="en-US"/>
        </w:rPr>
        <w:t xml:space="preserve"> </w:t>
      </w:r>
      <w:r w:rsidR="000920F6" w:rsidRPr="00967693">
        <w:rPr>
          <w:rFonts w:ascii="Calibri" w:hAnsi="Calibri"/>
          <w:sz w:val="23"/>
          <w:szCs w:val="23"/>
          <w:lang w:val="en-US"/>
        </w:rPr>
        <w:t xml:space="preserve">the CDC / South Caucasus regional office was founded in the premises of the NCDC and based on FELTP - competency-based training and in-service program in applied epidemiology and public health for Georgia, the Republic of Armenia and the Republic of Azerbaijan. The aim of the Program was to strengthen public health capacity in human and animal disease surveillance, laboratory, outbreak response, and program evaluation through a combination of classroom and on-the-job training and service. </w:t>
      </w:r>
      <w:r w:rsidR="00852EAB" w:rsidRPr="00967693">
        <w:rPr>
          <w:rFonts w:ascii="Calibri" w:hAnsi="Calibri"/>
          <w:sz w:val="23"/>
          <w:szCs w:val="23"/>
          <w:lang w:val="en-US"/>
        </w:rPr>
        <w:t xml:space="preserve">Due to this program more than 100 specialists from human and animal health sectors of the </w:t>
      </w:r>
      <w:r w:rsidR="00967693" w:rsidRPr="00967693">
        <w:rPr>
          <w:rFonts w:ascii="Calibri" w:hAnsi="Calibri"/>
          <w:noProof/>
          <w:sz w:val="23"/>
          <w:szCs w:val="23"/>
          <w:lang w:val="en-US"/>
        </w:rPr>
        <w:drawing>
          <wp:anchor distT="0" distB="0" distL="114300" distR="114300" simplePos="0" relativeHeight="251670528" behindDoc="1" locked="0" layoutInCell="1" allowOverlap="1" wp14:anchorId="65120167" wp14:editId="7ECCB829">
            <wp:simplePos x="0" y="0"/>
            <wp:positionH relativeFrom="margin">
              <wp:align>left</wp:align>
            </wp:positionH>
            <wp:positionV relativeFrom="paragraph">
              <wp:posOffset>477520</wp:posOffset>
            </wp:positionV>
            <wp:extent cx="1771650" cy="1180465"/>
            <wp:effectExtent l="0" t="0" r="0" b="635"/>
            <wp:wrapTight wrapText="bothSides">
              <wp:wrapPolygon edited="0">
                <wp:start x="0" y="0"/>
                <wp:lineTo x="0" y="21263"/>
                <wp:lineTo x="21368" y="21263"/>
                <wp:lineTo x="213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30_IMG_692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71650" cy="1180465"/>
                    </a:xfrm>
                    <a:prstGeom prst="rect">
                      <a:avLst/>
                    </a:prstGeom>
                  </pic:spPr>
                </pic:pic>
              </a:graphicData>
            </a:graphic>
          </wp:anchor>
        </w:drawing>
      </w:r>
      <w:r w:rsidR="00852EAB" w:rsidRPr="00967693">
        <w:rPr>
          <w:rFonts w:ascii="Calibri" w:hAnsi="Calibri"/>
          <w:sz w:val="23"/>
          <w:szCs w:val="23"/>
          <w:lang w:val="en-US"/>
        </w:rPr>
        <w:t xml:space="preserve">South Caucasus Region have received specialized epidemiology and laboratory training. </w:t>
      </w:r>
    </w:p>
    <w:p w:rsidR="00967693" w:rsidRDefault="00967693" w:rsidP="005B3DAB">
      <w:pPr>
        <w:spacing w:after="120" w:line="276" w:lineRule="auto"/>
        <w:jc w:val="both"/>
        <w:rPr>
          <w:rFonts w:ascii="Calibri" w:hAnsi="Calibri"/>
          <w:sz w:val="23"/>
          <w:szCs w:val="23"/>
          <w:lang w:val="en-US"/>
        </w:rPr>
      </w:pPr>
    </w:p>
    <w:p w:rsidR="00967693" w:rsidRDefault="00967693" w:rsidP="005B3DAB">
      <w:pPr>
        <w:spacing w:after="120" w:line="276" w:lineRule="auto"/>
        <w:jc w:val="both"/>
        <w:rPr>
          <w:rFonts w:ascii="Calibri" w:hAnsi="Calibri"/>
          <w:sz w:val="23"/>
          <w:szCs w:val="23"/>
          <w:lang w:val="en-US"/>
        </w:rPr>
      </w:pPr>
    </w:p>
    <w:p w:rsidR="00852EAB" w:rsidRPr="00967693" w:rsidRDefault="00D66558" w:rsidP="005B3DAB">
      <w:pPr>
        <w:spacing w:after="120" w:line="276" w:lineRule="auto"/>
        <w:jc w:val="both"/>
        <w:rPr>
          <w:rFonts w:ascii="Calibri" w:hAnsi="Calibri"/>
          <w:sz w:val="23"/>
          <w:szCs w:val="23"/>
          <w:lang w:val="en-US"/>
        </w:rPr>
      </w:pPr>
      <w:r w:rsidRPr="00967693">
        <w:rPr>
          <w:rFonts w:ascii="Calibri" w:hAnsi="Calibri"/>
          <w:sz w:val="23"/>
          <w:szCs w:val="23"/>
          <w:lang w:val="en-US"/>
        </w:rPr>
        <w:t>T</w:t>
      </w:r>
      <w:r w:rsidR="00852EAB" w:rsidRPr="00967693">
        <w:rPr>
          <w:rFonts w:ascii="Calibri" w:hAnsi="Calibri"/>
          <w:sz w:val="23"/>
          <w:szCs w:val="23"/>
          <w:lang w:val="en-US"/>
        </w:rPr>
        <w:t>he CDC’s goal in Georgia is to support and develop timely identification and response to outbreaks on an institutional level</w:t>
      </w:r>
      <w:r w:rsidR="00192D5B" w:rsidRPr="00967693">
        <w:rPr>
          <w:rFonts w:ascii="Calibri" w:hAnsi="Calibri"/>
          <w:sz w:val="23"/>
          <w:szCs w:val="23"/>
          <w:lang w:val="en-US"/>
        </w:rPr>
        <w:t xml:space="preserve"> on daily base</w:t>
      </w:r>
      <w:r w:rsidR="0033649D">
        <w:rPr>
          <w:rFonts w:ascii="Calibri" w:hAnsi="Calibri"/>
          <w:sz w:val="23"/>
          <w:szCs w:val="23"/>
          <w:lang w:val="en-US"/>
        </w:rPr>
        <w:t xml:space="preserve">d communication with NCDC and Ministry of IDPs, </w:t>
      </w:r>
      <w:proofErr w:type="spellStart"/>
      <w:r w:rsidR="0033649D">
        <w:rPr>
          <w:rFonts w:ascii="Calibri" w:hAnsi="Calibri"/>
          <w:sz w:val="23"/>
          <w:szCs w:val="23"/>
          <w:lang w:val="en-US"/>
        </w:rPr>
        <w:t>Labour</w:t>
      </w:r>
      <w:proofErr w:type="spellEnd"/>
      <w:r w:rsidR="0033649D">
        <w:rPr>
          <w:rFonts w:ascii="Calibri" w:hAnsi="Calibri"/>
          <w:sz w:val="23"/>
          <w:szCs w:val="23"/>
          <w:lang w:val="en-US"/>
        </w:rPr>
        <w:t xml:space="preserve">, </w:t>
      </w:r>
      <w:r w:rsidR="00192D5B" w:rsidRPr="00967693">
        <w:rPr>
          <w:rFonts w:ascii="Calibri" w:hAnsi="Calibri"/>
          <w:sz w:val="23"/>
          <w:szCs w:val="23"/>
          <w:lang w:val="en-US"/>
        </w:rPr>
        <w:t>H</w:t>
      </w:r>
      <w:r w:rsidR="0033649D">
        <w:rPr>
          <w:rFonts w:ascii="Calibri" w:hAnsi="Calibri"/>
          <w:sz w:val="23"/>
          <w:szCs w:val="23"/>
          <w:lang w:val="en-US"/>
        </w:rPr>
        <w:t xml:space="preserve">ealth and </w:t>
      </w:r>
      <w:r w:rsidR="00192D5B" w:rsidRPr="00967693">
        <w:rPr>
          <w:rFonts w:ascii="Calibri" w:hAnsi="Calibri"/>
          <w:sz w:val="23"/>
          <w:szCs w:val="23"/>
          <w:lang w:val="en-US"/>
        </w:rPr>
        <w:t>S</w:t>
      </w:r>
      <w:r w:rsidR="0033649D">
        <w:rPr>
          <w:rFonts w:ascii="Calibri" w:hAnsi="Calibri"/>
          <w:sz w:val="23"/>
          <w:szCs w:val="23"/>
          <w:lang w:val="en-US"/>
        </w:rPr>
        <w:t>ocial Affairs</w:t>
      </w:r>
      <w:r w:rsidR="00852EAB" w:rsidRPr="00967693">
        <w:rPr>
          <w:rFonts w:ascii="Calibri" w:hAnsi="Calibri"/>
          <w:sz w:val="23"/>
          <w:szCs w:val="23"/>
          <w:lang w:val="en-US"/>
        </w:rPr>
        <w:t>.</w:t>
      </w:r>
    </w:p>
    <w:p w:rsidR="00131F19" w:rsidRPr="00967693" w:rsidRDefault="00131F19" w:rsidP="00131F19">
      <w:pPr>
        <w:spacing w:after="120" w:line="276" w:lineRule="auto"/>
        <w:jc w:val="both"/>
        <w:rPr>
          <w:rFonts w:ascii="Calibri" w:hAnsi="Calibri"/>
          <w:sz w:val="23"/>
          <w:szCs w:val="23"/>
          <w:lang w:val="en-US"/>
        </w:rPr>
      </w:pPr>
      <w:r w:rsidRPr="00967693">
        <w:rPr>
          <w:rFonts w:ascii="Calibri" w:hAnsi="Calibri"/>
          <w:sz w:val="23"/>
          <w:szCs w:val="23"/>
          <w:lang w:val="en-US"/>
        </w:rPr>
        <w:t xml:space="preserve">CDC provides ongoing technical assistance in detecting various health risk factors through </w:t>
      </w:r>
      <w:r w:rsidR="00192D5B" w:rsidRPr="00967693">
        <w:rPr>
          <w:rFonts w:ascii="Calibri" w:hAnsi="Calibri"/>
          <w:sz w:val="23"/>
          <w:szCs w:val="23"/>
          <w:lang w:val="en-US"/>
        </w:rPr>
        <w:t xml:space="preserve">surveillance and laboratory </w:t>
      </w:r>
      <w:r w:rsidRPr="00967693">
        <w:rPr>
          <w:rFonts w:ascii="Calibri" w:hAnsi="Calibri"/>
          <w:sz w:val="23"/>
          <w:szCs w:val="23"/>
          <w:lang w:val="en-US"/>
        </w:rPr>
        <w:t>studies as well as through human resources development. The main scope of the CDC’s activities in Georgia are: hepatitis, influenza, zoonotic diseases, respiratory disea</w:t>
      </w:r>
      <w:r w:rsidR="00D66558" w:rsidRPr="00967693">
        <w:rPr>
          <w:rFonts w:ascii="Calibri" w:hAnsi="Calibri"/>
          <w:sz w:val="23"/>
          <w:szCs w:val="23"/>
          <w:lang w:val="en-US"/>
        </w:rPr>
        <w:t>ses, TB surveillance, diarrheal</w:t>
      </w:r>
      <w:r w:rsidRPr="00967693">
        <w:rPr>
          <w:rFonts w:ascii="Calibri" w:hAnsi="Calibri"/>
          <w:sz w:val="23"/>
          <w:szCs w:val="23"/>
          <w:lang w:val="en-US"/>
        </w:rPr>
        <w:t xml:space="preserve"> diseases, nutrition deficiency, STDs, ED</w:t>
      </w:r>
      <w:r w:rsidR="00852EAB" w:rsidRPr="00967693">
        <w:rPr>
          <w:rFonts w:ascii="Calibri" w:hAnsi="Calibri"/>
          <w:sz w:val="23"/>
          <w:szCs w:val="23"/>
          <w:lang w:val="en-US"/>
        </w:rPr>
        <w:t>Ps laboratory capacity building etc.</w:t>
      </w:r>
    </w:p>
    <w:p w:rsidR="00DC0441" w:rsidRDefault="00DC0441" w:rsidP="00192D5B">
      <w:pPr>
        <w:spacing w:after="120" w:line="276" w:lineRule="auto"/>
        <w:jc w:val="both"/>
        <w:rPr>
          <w:rFonts w:ascii="Calibri" w:hAnsi="Calibri"/>
          <w:sz w:val="23"/>
          <w:szCs w:val="23"/>
          <w:lang w:val="en-US"/>
        </w:rPr>
      </w:pPr>
      <w:r w:rsidRPr="00DC0441">
        <w:rPr>
          <w:rFonts w:ascii="Calibri" w:hAnsi="Calibri"/>
          <w:sz w:val="23"/>
          <w:szCs w:val="23"/>
          <w:lang w:val="en-US"/>
        </w:rPr>
        <w:t>Since 2006, Georgia has had 2 Cooperative Agreements (CAs) with CDC Atlanta: 1. Surveillance and Response to Avian and Pandemic Influenza by National Health Authorities outside the United States; and 2. Sustaining Influenza Surveillance Networks and Response to Seasonal and Pandemic Influenza by National Health Authorities outside the United States</w:t>
      </w:r>
      <w:r w:rsidR="005D7F86">
        <w:rPr>
          <w:rFonts w:ascii="Calibri" w:hAnsi="Calibri"/>
          <w:sz w:val="23"/>
          <w:szCs w:val="23"/>
          <w:lang w:val="en-US"/>
        </w:rPr>
        <w:t>.</w:t>
      </w:r>
      <w:r w:rsidRPr="00DC0441">
        <w:rPr>
          <w:rFonts w:ascii="Calibri" w:hAnsi="Calibri"/>
          <w:sz w:val="23"/>
          <w:szCs w:val="23"/>
          <w:lang w:val="en-US"/>
        </w:rPr>
        <w:t xml:space="preserve">  In 2016 projects continued as a new Cooperative Agreement named “MAINTENANCE OF INFLUENZA SURVEILLANCE CAPACITY BY NATIONAL HEALTH AUTHORITIES OUTSIDE THE UNITED STATES”(Project period 2016-2021)</w:t>
      </w:r>
    </w:p>
    <w:p w:rsidR="00852EAB" w:rsidRPr="00967693" w:rsidRDefault="00D66558" w:rsidP="00192D5B">
      <w:pPr>
        <w:spacing w:after="120" w:line="276" w:lineRule="auto"/>
        <w:jc w:val="both"/>
        <w:rPr>
          <w:rFonts w:ascii="Calibri" w:hAnsi="Calibri"/>
          <w:sz w:val="23"/>
          <w:szCs w:val="23"/>
          <w:lang w:val="en-US"/>
        </w:rPr>
      </w:pPr>
      <w:r w:rsidRPr="00967693">
        <w:rPr>
          <w:rFonts w:ascii="Calibri" w:hAnsi="Calibri"/>
          <w:sz w:val="23"/>
          <w:szCs w:val="23"/>
          <w:lang w:val="en-US"/>
        </w:rPr>
        <w:t xml:space="preserve">Since </w:t>
      </w:r>
      <w:r w:rsidR="004B50EE" w:rsidRPr="00967693">
        <w:rPr>
          <w:rFonts w:ascii="Calibri" w:hAnsi="Calibri"/>
          <w:sz w:val="23"/>
          <w:szCs w:val="23"/>
          <w:lang w:val="en-US"/>
        </w:rPr>
        <w:t xml:space="preserve">2013 the CDC </w:t>
      </w:r>
      <w:r w:rsidR="00852EAB" w:rsidRPr="00967693">
        <w:rPr>
          <w:rFonts w:ascii="Calibri" w:hAnsi="Calibri"/>
          <w:sz w:val="23"/>
          <w:szCs w:val="23"/>
          <w:lang w:val="en-US"/>
        </w:rPr>
        <w:t xml:space="preserve">Global Disease Detection (GDD) </w:t>
      </w:r>
      <w:r w:rsidR="004B50EE" w:rsidRPr="00967693">
        <w:rPr>
          <w:rFonts w:ascii="Calibri" w:hAnsi="Calibri"/>
          <w:sz w:val="23"/>
          <w:szCs w:val="23"/>
          <w:lang w:val="en-US"/>
        </w:rPr>
        <w:t xml:space="preserve">Center </w:t>
      </w:r>
      <w:r w:rsidRPr="00967693">
        <w:rPr>
          <w:rFonts w:ascii="Calibri" w:hAnsi="Calibri"/>
          <w:sz w:val="23"/>
          <w:szCs w:val="23"/>
          <w:lang w:val="en-US"/>
        </w:rPr>
        <w:t xml:space="preserve">has </w:t>
      </w:r>
      <w:r w:rsidR="004B50EE" w:rsidRPr="00967693">
        <w:rPr>
          <w:rFonts w:ascii="Calibri" w:hAnsi="Calibri"/>
          <w:sz w:val="23"/>
          <w:szCs w:val="23"/>
          <w:lang w:val="en-US"/>
        </w:rPr>
        <w:t xml:space="preserve">expanded collaboration with NCDC through the </w:t>
      </w:r>
      <w:r w:rsidR="00852EAB" w:rsidRPr="00967693">
        <w:rPr>
          <w:rFonts w:ascii="Calibri" w:hAnsi="Calibri"/>
          <w:sz w:val="23"/>
          <w:szCs w:val="23"/>
          <w:lang w:val="en-US"/>
        </w:rPr>
        <w:t>projects serv</w:t>
      </w:r>
      <w:r w:rsidR="004B50EE" w:rsidRPr="00967693">
        <w:rPr>
          <w:rFonts w:ascii="Calibri" w:hAnsi="Calibri"/>
          <w:sz w:val="23"/>
          <w:szCs w:val="23"/>
          <w:lang w:val="en-US"/>
        </w:rPr>
        <w:t>ing</w:t>
      </w:r>
      <w:r w:rsidR="00852EAB" w:rsidRPr="00967693">
        <w:rPr>
          <w:rFonts w:ascii="Calibri" w:hAnsi="Calibri"/>
          <w:sz w:val="23"/>
          <w:szCs w:val="23"/>
          <w:lang w:val="en-US"/>
        </w:rPr>
        <w:t xml:space="preserve"> for further disease surveillance systems and outbreak response activities</w:t>
      </w:r>
      <w:r w:rsidRPr="00967693">
        <w:rPr>
          <w:rFonts w:ascii="Calibri" w:hAnsi="Calibri"/>
          <w:sz w:val="23"/>
          <w:szCs w:val="23"/>
          <w:lang w:val="en-US"/>
        </w:rPr>
        <w:t xml:space="preserve"> for respiratory diseases, enteric diseases, STIs, immunization </w:t>
      </w:r>
      <w:r w:rsidRPr="00967693">
        <w:rPr>
          <w:rFonts w:ascii="Calibri" w:hAnsi="Calibri"/>
          <w:i/>
          <w:sz w:val="23"/>
          <w:szCs w:val="23"/>
          <w:lang w:val="en-US"/>
        </w:rPr>
        <w:t>etc.</w:t>
      </w:r>
      <w:r w:rsidRPr="00967693">
        <w:rPr>
          <w:rFonts w:ascii="Calibri" w:hAnsi="Calibri"/>
          <w:sz w:val="23"/>
          <w:szCs w:val="23"/>
          <w:lang w:val="en-US"/>
        </w:rPr>
        <w:t xml:space="preserve"> The GDD projects later also covered the sentinel-based study on nutrition status in pregnant and children under age 5 and school-age (12y-13y)</w:t>
      </w:r>
      <w:r w:rsidR="004B50EE" w:rsidRPr="00967693">
        <w:rPr>
          <w:rFonts w:ascii="Calibri" w:hAnsi="Calibri"/>
          <w:sz w:val="23"/>
          <w:szCs w:val="23"/>
          <w:lang w:val="en-US"/>
        </w:rPr>
        <w:t xml:space="preserve"> </w:t>
      </w:r>
      <w:r w:rsidRPr="00967693">
        <w:rPr>
          <w:rFonts w:ascii="Calibri" w:hAnsi="Calibri"/>
          <w:sz w:val="23"/>
          <w:szCs w:val="23"/>
          <w:lang w:val="en-US"/>
        </w:rPr>
        <w:t>in</w:t>
      </w:r>
      <w:r w:rsidR="00A03761" w:rsidRPr="00967693">
        <w:rPr>
          <w:rFonts w:ascii="Calibri" w:hAnsi="Calibri"/>
          <w:sz w:val="23"/>
          <w:szCs w:val="23"/>
          <w:lang w:val="en-US"/>
        </w:rPr>
        <w:t xml:space="preserve"> 4 regions of Georgia.</w:t>
      </w:r>
      <w:r w:rsidRPr="00967693">
        <w:rPr>
          <w:rFonts w:ascii="Calibri" w:hAnsi="Calibri"/>
          <w:sz w:val="23"/>
          <w:szCs w:val="23"/>
          <w:lang w:val="en-US"/>
        </w:rPr>
        <w:t xml:space="preserve"> </w:t>
      </w:r>
    </w:p>
    <w:p w:rsidR="00852EAB" w:rsidRPr="0033649D" w:rsidRDefault="00E302DA" w:rsidP="00852EAB">
      <w:pPr>
        <w:spacing w:after="120" w:line="276" w:lineRule="auto"/>
        <w:jc w:val="both"/>
        <w:rPr>
          <w:rFonts w:ascii="Calibri" w:hAnsi="Calibri" w:cs="Calibri"/>
          <w:sz w:val="23"/>
          <w:szCs w:val="23"/>
          <w:lang w:val="en-US"/>
        </w:rPr>
      </w:pPr>
      <w:r w:rsidRPr="00967693">
        <w:rPr>
          <w:rFonts w:ascii="Calibri" w:hAnsi="Calibri"/>
          <w:noProof/>
          <w:sz w:val="23"/>
          <w:szCs w:val="23"/>
          <w:lang w:val="en-US"/>
        </w:rPr>
        <w:drawing>
          <wp:anchor distT="0" distB="0" distL="114300" distR="114300" simplePos="0" relativeHeight="251666432" behindDoc="1" locked="0" layoutInCell="1" allowOverlap="1" wp14:anchorId="03F66126" wp14:editId="1DF99E29">
            <wp:simplePos x="0" y="0"/>
            <wp:positionH relativeFrom="margin">
              <wp:align>left</wp:align>
            </wp:positionH>
            <wp:positionV relativeFrom="paragraph">
              <wp:posOffset>1040765</wp:posOffset>
            </wp:positionV>
            <wp:extent cx="1817370" cy="1181100"/>
            <wp:effectExtent l="0" t="0" r="0" b="0"/>
            <wp:wrapTight wrapText="bothSides">
              <wp:wrapPolygon edited="0">
                <wp:start x="0" y="0"/>
                <wp:lineTo x="0" y="21252"/>
                <wp:lineTo x="21283" y="21252"/>
                <wp:lineTo x="2128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17370" cy="1181100"/>
                    </a:xfrm>
                    <a:prstGeom prst="rect">
                      <a:avLst/>
                    </a:prstGeom>
                  </pic:spPr>
                </pic:pic>
              </a:graphicData>
            </a:graphic>
            <wp14:sizeRelH relativeFrom="margin">
              <wp14:pctWidth>0</wp14:pctWidth>
            </wp14:sizeRelH>
            <wp14:sizeRelV relativeFrom="margin">
              <wp14:pctHeight>0</wp14:pctHeight>
            </wp14:sizeRelV>
          </wp:anchor>
        </w:drawing>
      </w:r>
      <w:r w:rsidR="009F29A7" w:rsidRPr="00967693">
        <w:rPr>
          <w:rFonts w:ascii="Calibri" w:hAnsi="Calibri"/>
          <w:sz w:val="23"/>
          <w:szCs w:val="23"/>
          <w:lang w:val="en-US"/>
        </w:rPr>
        <w:t xml:space="preserve">In </w:t>
      </w:r>
      <w:r w:rsidR="0033649D">
        <w:rPr>
          <w:rFonts w:ascii="Calibri" w:hAnsi="Calibri"/>
          <w:sz w:val="23"/>
          <w:szCs w:val="23"/>
          <w:lang w:val="en-US"/>
        </w:rPr>
        <w:t xml:space="preserve">April, </w:t>
      </w:r>
      <w:r w:rsidR="009F29A7" w:rsidRPr="00967693">
        <w:rPr>
          <w:rFonts w:ascii="Calibri" w:hAnsi="Calibri"/>
          <w:sz w:val="23"/>
          <w:szCs w:val="23"/>
          <w:lang w:val="en-US"/>
        </w:rPr>
        <w:t xml:space="preserve">2015 in the framework of the flagship program: Hepatitis C Elimination, and in collaboration with US CDC the first nationwide hepatitis C and B serosurvey was conducted in Georgia with a primary objective to estimate the prevalence of HCV infection in general population. </w:t>
      </w:r>
      <w:r w:rsidR="00A03761" w:rsidRPr="00967693">
        <w:rPr>
          <w:rFonts w:ascii="Calibri" w:hAnsi="Calibri"/>
          <w:sz w:val="23"/>
          <w:szCs w:val="23"/>
          <w:lang w:val="en-US"/>
        </w:rPr>
        <w:t>R</w:t>
      </w:r>
      <w:r w:rsidR="009F29A7" w:rsidRPr="00967693">
        <w:rPr>
          <w:rFonts w:ascii="Calibri" w:hAnsi="Calibri"/>
          <w:sz w:val="23"/>
          <w:szCs w:val="23"/>
          <w:lang w:val="en-US"/>
        </w:rPr>
        <w:t>evealing positive antibodies and active infection in approxim</w:t>
      </w:r>
      <w:r w:rsidR="00A03761" w:rsidRPr="00967693">
        <w:rPr>
          <w:rFonts w:ascii="Calibri" w:hAnsi="Calibri"/>
          <w:sz w:val="23"/>
          <w:szCs w:val="23"/>
          <w:lang w:val="en-US"/>
        </w:rPr>
        <w:t xml:space="preserve">ately 150 thousand </w:t>
      </w:r>
      <w:r w:rsidR="0033649D">
        <w:rPr>
          <w:rFonts w:ascii="Calibri" w:hAnsi="Calibri"/>
          <w:sz w:val="23"/>
          <w:szCs w:val="23"/>
          <w:lang w:val="en-US"/>
        </w:rPr>
        <w:t>adults</w:t>
      </w:r>
      <w:r w:rsidR="00A03761" w:rsidRPr="00967693">
        <w:rPr>
          <w:rFonts w:ascii="Calibri" w:hAnsi="Calibri"/>
          <w:sz w:val="23"/>
          <w:szCs w:val="23"/>
          <w:lang w:val="en-US"/>
        </w:rPr>
        <w:t xml:space="preserve"> </w:t>
      </w:r>
      <w:r w:rsidR="009F29A7" w:rsidRPr="00967693">
        <w:rPr>
          <w:rFonts w:ascii="Calibri" w:hAnsi="Calibri"/>
          <w:sz w:val="23"/>
          <w:szCs w:val="23"/>
          <w:lang w:val="en-US"/>
        </w:rPr>
        <w:t xml:space="preserve">became a baseline for strategic activities of the Program.  The Hepatitis C Elimination Program has been initiated by the Government of Georgia together with CDC and Gilead Sciences, USA. In this regard Georgia has become a model country in elimination of Hepatitis C worldwide which has been implementing </w:t>
      </w:r>
      <w:r w:rsidR="0033649D">
        <w:rPr>
          <w:rFonts w:ascii="Calibri" w:hAnsi="Calibri"/>
          <w:sz w:val="23"/>
          <w:szCs w:val="23"/>
          <w:lang w:val="en-US"/>
        </w:rPr>
        <w:t>successfully for already 4</w:t>
      </w:r>
      <w:r w:rsidR="009F29A7" w:rsidRPr="00967693">
        <w:rPr>
          <w:rFonts w:ascii="Calibri" w:hAnsi="Calibri"/>
          <w:sz w:val="23"/>
          <w:szCs w:val="23"/>
          <w:lang w:val="en-US"/>
        </w:rPr>
        <w:t xml:space="preserve"> years.</w:t>
      </w:r>
      <w:r w:rsidR="0033649D">
        <w:rPr>
          <w:sz w:val="23"/>
          <w:szCs w:val="23"/>
        </w:rPr>
        <w:t xml:space="preserve"> </w:t>
      </w:r>
      <w:r w:rsidR="0033649D">
        <w:rPr>
          <w:rFonts w:ascii="Calibri" w:hAnsi="Calibri" w:cs="Calibri"/>
          <w:sz w:val="23"/>
          <w:szCs w:val="23"/>
          <w:lang w:val="en-US"/>
        </w:rPr>
        <w:t xml:space="preserve">As of today </w:t>
      </w:r>
      <w:r w:rsidR="005D7F86">
        <w:rPr>
          <w:rFonts w:ascii="Calibri" w:hAnsi="Calibri" w:cs="Calibri"/>
          <w:sz w:val="23"/>
          <w:szCs w:val="23"/>
          <w:lang w:val="en-US"/>
        </w:rPr>
        <w:t>more than 1.5 mln a</w:t>
      </w:r>
      <w:r w:rsidR="000B0496">
        <w:rPr>
          <w:rFonts w:ascii="Calibri" w:hAnsi="Calibri" w:cs="Calibri"/>
          <w:sz w:val="23"/>
          <w:szCs w:val="23"/>
          <w:lang w:val="en-US"/>
        </w:rPr>
        <w:t>dults</w:t>
      </w:r>
      <w:r w:rsidR="00F14456">
        <w:rPr>
          <w:rFonts w:ascii="Calibri" w:hAnsi="Calibri" w:cs="Calibri"/>
          <w:sz w:val="23"/>
          <w:szCs w:val="23"/>
          <w:lang w:val="en-US"/>
        </w:rPr>
        <w:t xml:space="preserve"> have been screened; up to </w:t>
      </w:r>
      <w:r w:rsidR="000B0496">
        <w:rPr>
          <w:rFonts w:cs="Calibri"/>
          <w:sz w:val="23"/>
          <w:szCs w:val="23"/>
        </w:rPr>
        <w:t>5</w:t>
      </w:r>
      <w:r w:rsidR="000B0496">
        <w:rPr>
          <w:rFonts w:cs="Calibri"/>
          <w:sz w:val="23"/>
          <w:szCs w:val="23"/>
          <w:lang w:val="en-US"/>
        </w:rPr>
        <w:t>4</w:t>
      </w:r>
      <w:r w:rsidR="00F14456">
        <w:rPr>
          <w:rFonts w:ascii="Calibri" w:hAnsi="Calibri" w:cs="Calibri"/>
          <w:sz w:val="23"/>
          <w:szCs w:val="23"/>
          <w:lang w:val="en-US"/>
        </w:rPr>
        <w:t xml:space="preserve">, 000 </w:t>
      </w:r>
      <w:r w:rsidR="000B0496">
        <w:rPr>
          <w:rFonts w:ascii="Calibri" w:hAnsi="Calibri" w:cs="Calibri"/>
          <w:sz w:val="23"/>
          <w:szCs w:val="23"/>
          <w:lang w:val="en-US"/>
        </w:rPr>
        <w:t>enrolled into</w:t>
      </w:r>
      <w:r w:rsidR="00F14456">
        <w:rPr>
          <w:rFonts w:ascii="Calibri" w:hAnsi="Calibri" w:cs="Calibri"/>
          <w:sz w:val="23"/>
          <w:szCs w:val="23"/>
          <w:lang w:val="en-US"/>
        </w:rPr>
        <w:t xml:space="preserve"> the treatment</w:t>
      </w:r>
      <w:r w:rsidR="000B0496">
        <w:rPr>
          <w:rFonts w:ascii="Calibri" w:hAnsi="Calibri" w:cs="Calibri"/>
          <w:sz w:val="23"/>
          <w:szCs w:val="23"/>
          <w:lang w:val="en-US"/>
        </w:rPr>
        <w:t>, 50, 000</w:t>
      </w:r>
      <w:r w:rsidR="00F14456">
        <w:rPr>
          <w:rFonts w:ascii="Calibri" w:hAnsi="Calibri" w:cs="Calibri"/>
          <w:sz w:val="23"/>
          <w:szCs w:val="23"/>
          <w:lang w:val="en-US"/>
        </w:rPr>
        <w:t xml:space="preserve"> </w:t>
      </w:r>
      <w:r w:rsidR="000B0496">
        <w:rPr>
          <w:rFonts w:ascii="Calibri" w:hAnsi="Calibri" w:cs="Calibri"/>
          <w:sz w:val="23"/>
          <w:szCs w:val="23"/>
          <w:lang w:val="en-US"/>
        </w:rPr>
        <w:t xml:space="preserve">completed </w:t>
      </w:r>
      <w:r w:rsidR="005D7F86">
        <w:rPr>
          <w:rFonts w:ascii="Calibri" w:hAnsi="Calibri" w:cs="Calibri"/>
          <w:sz w:val="23"/>
          <w:szCs w:val="23"/>
          <w:lang w:val="en-US"/>
        </w:rPr>
        <w:t xml:space="preserve">the treatment </w:t>
      </w:r>
      <w:r w:rsidR="00F14456">
        <w:rPr>
          <w:rFonts w:ascii="Calibri" w:hAnsi="Calibri" w:cs="Calibri"/>
          <w:sz w:val="23"/>
          <w:szCs w:val="23"/>
          <w:lang w:val="en-US"/>
        </w:rPr>
        <w:t>with</w:t>
      </w:r>
      <w:r w:rsidR="000B0496">
        <w:rPr>
          <w:rFonts w:cs="Calibri"/>
          <w:sz w:val="23"/>
          <w:szCs w:val="23"/>
        </w:rPr>
        <w:t xml:space="preserve"> 98.2% </w:t>
      </w:r>
      <w:r w:rsidR="000B0496">
        <w:rPr>
          <w:rFonts w:cs="Calibri"/>
          <w:sz w:val="23"/>
          <w:szCs w:val="23"/>
          <w:lang w:val="en-US"/>
        </w:rPr>
        <w:t xml:space="preserve">outcome of </w:t>
      </w:r>
      <w:r w:rsidR="00F14456">
        <w:rPr>
          <w:rFonts w:ascii="Calibri" w:hAnsi="Calibri" w:cs="Calibri"/>
          <w:sz w:val="23"/>
          <w:szCs w:val="23"/>
          <w:lang w:val="en-US"/>
        </w:rPr>
        <w:t xml:space="preserve">HCV elimination effect.  </w:t>
      </w:r>
      <w:bookmarkStart w:id="0" w:name="_GoBack"/>
      <w:bookmarkEnd w:id="0"/>
    </w:p>
    <w:p w:rsidR="00CB4BCC" w:rsidRPr="00967693" w:rsidRDefault="009F29A7" w:rsidP="00CB4BCC">
      <w:pPr>
        <w:spacing w:after="120" w:line="276" w:lineRule="auto"/>
        <w:jc w:val="both"/>
        <w:rPr>
          <w:rFonts w:ascii="Calibri" w:hAnsi="Calibri"/>
          <w:sz w:val="23"/>
          <w:szCs w:val="23"/>
          <w:lang w:val="en-US"/>
        </w:rPr>
      </w:pPr>
      <w:r w:rsidRPr="00967693">
        <w:rPr>
          <w:rFonts w:ascii="Calibri" w:hAnsi="Calibri"/>
          <w:sz w:val="23"/>
          <w:szCs w:val="23"/>
          <w:lang w:val="en-US"/>
        </w:rPr>
        <w:t xml:space="preserve">In compliance with </w:t>
      </w:r>
      <w:r w:rsidR="00CB4BCC" w:rsidRPr="00967693">
        <w:rPr>
          <w:rFonts w:ascii="Calibri" w:hAnsi="Calibri"/>
          <w:sz w:val="23"/>
          <w:szCs w:val="23"/>
          <w:lang w:val="en-US"/>
        </w:rPr>
        <w:t xml:space="preserve">current </w:t>
      </w:r>
      <w:r w:rsidRPr="00967693">
        <w:rPr>
          <w:rFonts w:ascii="Calibri" w:hAnsi="Calibri"/>
          <w:sz w:val="23"/>
          <w:szCs w:val="23"/>
          <w:lang w:val="en-US"/>
        </w:rPr>
        <w:t xml:space="preserve">CDC’s strategic priorities </w:t>
      </w:r>
      <w:r w:rsidR="00A03761" w:rsidRPr="00967693">
        <w:rPr>
          <w:rFonts w:ascii="Calibri" w:hAnsi="Calibri"/>
          <w:sz w:val="23"/>
          <w:szCs w:val="23"/>
          <w:lang w:val="en-US"/>
        </w:rPr>
        <w:t xml:space="preserve">and under the umbrella of the Global Health Security Agenda (GHSA) </w:t>
      </w:r>
      <w:r w:rsidRPr="00967693">
        <w:rPr>
          <w:rFonts w:ascii="Calibri" w:hAnsi="Calibri"/>
          <w:sz w:val="23"/>
          <w:szCs w:val="23"/>
          <w:lang w:val="en-US"/>
        </w:rPr>
        <w:t>the further vision in collaboration</w:t>
      </w:r>
      <w:r w:rsidR="00CB4BCC" w:rsidRPr="00967693">
        <w:rPr>
          <w:rFonts w:ascii="Calibri" w:hAnsi="Calibri"/>
          <w:sz w:val="23"/>
          <w:szCs w:val="23"/>
          <w:lang w:val="en-US"/>
        </w:rPr>
        <w:t xml:space="preserve"> with NCDC is to develop and maintain preparedness, rapid detection, response, and recovery systems to mitigate global public health emergencies; to strengthen surveillance and laboratory systems; to develop workforce. </w:t>
      </w:r>
    </w:p>
    <w:p w:rsidR="00967693" w:rsidRDefault="00967693" w:rsidP="0046573A">
      <w:pPr>
        <w:spacing w:after="120" w:line="240" w:lineRule="auto"/>
        <w:contextualSpacing/>
        <w:rPr>
          <w:rFonts w:ascii="Calibri" w:eastAsia="Calibri" w:hAnsi="Calibri" w:cs="Calibri"/>
          <w:color w:val="548DD4"/>
          <w:sz w:val="24"/>
          <w:szCs w:val="24"/>
          <w:lang w:val="en-US"/>
        </w:rPr>
      </w:pPr>
      <w:r w:rsidRPr="00967693">
        <w:rPr>
          <w:rFonts w:ascii="Calibri" w:eastAsia="Calibri" w:hAnsi="Calibri" w:cs="Calibri"/>
          <w:color w:val="548DD4"/>
          <w:sz w:val="24"/>
          <w:szCs w:val="24"/>
          <w:lang w:val="en-US"/>
        </w:rPr>
        <w:t xml:space="preserve">                                </w:t>
      </w:r>
      <w:r w:rsidR="0046573A">
        <w:rPr>
          <w:rFonts w:ascii="Calibri" w:eastAsia="Calibri" w:hAnsi="Calibri" w:cs="Calibri"/>
          <w:color w:val="548DD4"/>
          <w:sz w:val="24"/>
          <w:szCs w:val="24"/>
          <w:lang w:val="en-US"/>
        </w:rPr>
        <w:t xml:space="preserve">     </w:t>
      </w:r>
      <w:r w:rsidRPr="00967693">
        <w:rPr>
          <w:rFonts w:ascii="Calibri" w:eastAsia="Calibri" w:hAnsi="Calibri" w:cs="Calibri"/>
          <w:color w:val="548DD4"/>
          <w:sz w:val="24"/>
          <w:szCs w:val="24"/>
          <w:lang w:val="en-US"/>
        </w:rPr>
        <w:t>_______________________________________________</w:t>
      </w:r>
    </w:p>
    <w:p w:rsidR="0046573A" w:rsidRPr="0046573A" w:rsidRDefault="00A44014" w:rsidP="0046573A">
      <w:pPr>
        <w:spacing w:after="120" w:line="276" w:lineRule="auto"/>
        <w:ind w:left="-142"/>
        <w:jc w:val="both"/>
        <w:rPr>
          <w:rFonts w:ascii="Calibri" w:hAnsi="Calibri"/>
          <w:sz w:val="24"/>
          <w:szCs w:val="24"/>
          <w:lang w:val="en-US"/>
        </w:rPr>
      </w:pPr>
      <w:r w:rsidRPr="0046573A">
        <w:rPr>
          <w:rFonts w:ascii="Calibri" w:eastAsiaTheme="majorEastAsia" w:hAnsi="Calibri" w:cs="Calibri"/>
          <w:bCs/>
          <w:i/>
          <w:noProof/>
          <w:color w:val="1F3864" w:themeColor="accent1" w:themeShade="80"/>
          <w:sz w:val="36"/>
          <w:szCs w:val="36"/>
          <w:lang w:val="en-US"/>
        </w:rPr>
        <w:drawing>
          <wp:anchor distT="0" distB="0" distL="114300" distR="114300" simplePos="0" relativeHeight="251674624" behindDoc="0" locked="0" layoutInCell="1" allowOverlap="1" wp14:anchorId="325D4C8C" wp14:editId="404E59FF">
            <wp:simplePos x="0" y="0"/>
            <wp:positionH relativeFrom="column">
              <wp:posOffset>3994150</wp:posOffset>
            </wp:positionH>
            <wp:positionV relativeFrom="paragraph">
              <wp:posOffset>299720</wp:posOffset>
            </wp:positionV>
            <wp:extent cx="1945005" cy="601345"/>
            <wp:effectExtent l="0" t="0" r="0" b="82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CDC-new-logo + text.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5005" cy="601345"/>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1"/>
        <w:tblpPr w:leftFromText="180" w:rightFromText="180" w:vertAnchor="text" w:horzAnchor="margin" w:tblpX="-426" w:tblpY="87"/>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4"/>
        <w:gridCol w:w="5146"/>
      </w:tblGrid>
      <w:tr w:rsidR="0046573A" w:rsidRPr="0046573A" w:rsidTr="000816F1">
        <w:trPr>
          <w:trHeight w:val="1521"/>
        </w:trPr>
        <w:tc>
          <w:tcPr>
            <w:tcW w:w="5564" w:type="dxa"/>
          </w:tcPr>
          <w:p w:rsidR="0046573A" w:rsidRPr="0046573A" w:rsidRDefault="00A44014" w:rsidP="0046573A">
            <w:pPr>
              <w:spacing w:after="120"/>
              <w:contextualSpacing/>
              <w:jc w:val="center"/>
              <w:rPr>
                <w:rFonts w:ascii="Calibri" w:eastAsia="Calibri" w:hAnsi="Calibri" w:cs="Calibri"/>
                <w:color w:val="365F91"/>
              </w:rPr>
            </w:pPr>
            <w:r>
              <w:rPr>
                <w:rFonts w:ascii="Calibri" w:hAnsi="Calibri" w:cs="Calibri"/>
                <w:b/>
                <w:bCs/>
                <w:noProof/>
                <w:sz w:val="24"/>
                <w:szCs w:val="24"/>
              </w:rPr>
              <w:drawing>
                <wp:inline distT="0" distB="0" distL="0" distR="0" wp14:anchorId="1E27F85E" wp14:editId="7E6FE957">
                  <wp:extent cx="2023638" cy="59338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OH 1 Logo-ENG.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8151" cy="603507"/>
                          </a:xfrm>
                          <a:prstGeom prst="rect">
                            <a:avLst/>
                          </a:prstGeom>
                        </pic:spPr>
                      </pic:pic>
                    </a:graphicData>
                  </a:graphic>
                </wp:inline>
              </w:drawing>
            </w:r>
            <w:r w:rsidR="0046573A" w:rsidRPr="0046573A">
              <w:rPr>
                <w:rFonts w:ascii="Calibri" w:eastAsia="Calibri" w:hAnsi="Calibri" w:cs="Calibri"/>
                <w:color w:val="365F91"/>
              </w:rPr>
              <w:t xml:space="preserve">         </w:t>
            </w:r>
          </w:p>
          <w:p w:rsidR="004147EC" w:rsidRDefault="004147EC" w:rsidP="0046573A">
            <w:pPr>
              <w:widowControl w:val="0"/>
              <w:outlineLvl w:val="1"/>
              <w:rPr>
                <w:rFonts w:ascii="Calibri" w:eastAsia="Times New Roman" w:hAnsi="Calibri" w:cs="Calibri"/>
                <w:color w:val="365F91"/>
              </w:rPr>
            </w:pPr>
          </w:p>
          <w:p w:rsidR="0046573A" w:rsidRPr="0046573A" w:rsidRDefault="0046573A" w:rsidP="0046573A">
            <w:pPr>
              <w:widowControl w:val="0"/>
              <w:outlineLvl w:val="1"/>
              <w:rPr>
                <w:rFonts w:ascii="Calibri" w:eastAsia="Times New Roman" w:hAnsi="Calibri" w:cs="Calibri"/>
                <w:color w:val="365F91"/>
              </w:rPr>
            </w:pPr>
            <w:r w:rsidRPr="0046573A">
              <w:rPr>
                <w:rFonts w:ascii="Calibri" w:eastAsia="Times New Roman" w:hAnsi="Calibri" w:cs="Calibri"/>
                <w:color w:val="365F91"/>
              </w:rPr>
              <w:t xml:space="preserve">Ministry of Internally Displaced Persons from the Occupied Territories, </w:t>
            </w:r>
            <w:proofErr w:type="spellStart"/>
            <w:r w:rsidRPr="0046573A">
              <w:rPr>
                <w:rFonts w:ascii="Calibri" w:eastAsia="Times New Roman" w:hAnsi="Calibri" w:cs="Calibri"/>
                <w:color w:val="365F91"/>
              </w:rPr>
              <w:t>Labour</w:t>
            </w:r>
            <w:proofErr w:type="spellEnd"/>
            <w:r w:rsidRPr="0046573A">
              <w:rPr>
                <w:rFonts w:ascii="Calibri" w:eastAsia="Times New Roman" w:hAnsi="Calibri" w:cs="Calibri"/>
                <w:color w:val="365F91"/>
              </w:rPr>
              <w:t>, Health and Social Affairs of Georgia</w:t>
            </w:r>
          </w:p>
          <w:p w:rsidR="0046573A" w:rsidRPr="0046573A" w:rsidRDefault="0046573A" w:rsidP="0046573A">
            <w:pPr>
              <w:spacing w:after="120"/>
              <w:contextualSpacing/>
              <w:rPr>
                <w:rFonts w:ascii="Sylfaen" w:eastAsia="Times New Roman" w:hAnsi="Sylfaen" w:cs="Calibri"/>
                <w:bCs/>
                <w:color w:val="365F91"/>
              </w:rPr>
            </w:pPr>
            <w:r w:rsidRPr="0046573A">
              <w:rPr>
                <w:rFonts w:ascii="Calibri" w:eastAsia="Times New Roman" w:hAnsi="Calibri" w:cs="Calibri"/>
                <w:bCs/>
                <w:color w:val="365F91"/>
              </w:rPr>
              <w:t xml:space="preserve">             144, A. Tsereteli avenue. Tbilisi, Georgia, 0119</w:t>
            </w:r>
          </w:p>
          <w:p w:rsidR="0046573A" w:rsidRPr="0046573A" w:rsidRDefault="0046573A" w:rsidP="0046573A">
            <w:pPr>
              <w:spacing w:after="120"/>
              <w:contextualSpacing/>
              <w:jc w:val="center"/>
              <w:rPr>
                <w:rFonts w:ascii="Calibri" w:eastAsia="Calibri" w:hAnsi="Calibri" w:cs="Calibri"/>
                <w:color w:val="365F91"/>
              </w:rPr>
            </w:pPr>
            <w:r w:rsidRPr="0046573A">
              <w:rPr>
                <w:rFonts w:ascii="Calibri" w:eastAsia="Times New Roman" w:hAnsi="Calibri" w:cs="Calibri"/>
                <w:bCs/>
                <w:color w:val="365F91"/>
              </w:rPr>
              <w:t>www.moh.gov.ge</w:t>
            </w:r>
          </w:p>
        </w:tc>
        <w:tc>
          <w:tcPr>
            <w:tcW w:w="5146" w:type="dxa"/>
          </w:tcPr>
          <w:p w:rsidR="0046573A" w:rsidRPr="0046573A" w:rsidRDefault="0046573A" w:rsidP="0046573A">
            <w:pPr>
              <w:spacing w:after="120"/>
              <w:contextualSpacing/>
              <w:jc w:val="center"/>
              <w:rPr>
                <w:rFonts w:ascii="Calibri" w:eastAsia="Times New Roman" w:hAnsi="Calibri" w:cs="Calibri"/>
                <w:b/>
                <w:bCs/>
                <w:i/>
                <w:color w:val="365F91"/>
              </w:rPr>
            </w:pPr>
            <w:r w:rsidRPr="0046573A">
              <w:rPr>
                <w:rFonts w:ascii="Calibri" w:eastAsia="Times New Roman" w:hAnsi="Calibri" w:cs="Calibri"/>
                <w:b/>
                <w:bCs/>
                <w:i/>
                <w:color w:val="365F91"/>
              </w:rPr>
              <w:t xml:space="preserve"> </w:t>
            </w:r>
          </w:p>
          <w:p w:rsidR="0046573A" w:rsidRPr="0046573A" w:rsidRDefault="0046573A" w:rsidP="0046573A">
            <w:pPr>
              <w:widowControl w:val="0"/>
              <w:ind w:left="100"/>
              <w:outlineLvl w:val="1"/>
              <w:rPr>
                <w:rFonts w:ascii="Calibri" w:eastAsia="Times New Roman" w:hAnsi="Calibri" w:cs="Calibri"/>
                <w:color w:val="365F91"/>
              </w:rPr>
            </w:pPr>
          </w:p>
          <w:p w:rsidR="0046573A" w:rsidRPr="0046573A" w:rsidRDefault="0046573A" w:rsidP="0046573A">
            <w:pPr>
              <w:widowControl w:val="0"/>
              <w:ind w:left="100"/>
              <w:outlineLvl w:val="1"/>
              <w:rPr>
                <w:rFonts w:ascii="Calibri" w:eastAsia="Times New Roman" w:hAnsi="Calibri" w:cs="Calibri"/>
                <w:color w:val="365F91"/>
              </w:rPr>
            </w:pPr>
          </w:p>
          <w:p w:rsidR="004147EC" w:rsidRDefault="004147EC" w:rsidP="0046573A">
            <w:pPr>
              <w:widowControl w:val="0"/>
              <w:outlineLvl w:val="1"/>
              <w:rPr>
                <w:rFonts w:ascii="Callibri" w:eastAsia="Times New Roman" w:hAnsi="Callibri" w:cs="Calibri"/>
                <w:color w:val="365F91"/>
              </w:rPr>
            </w:pPr>
          </w:p>
          <w:p w:rsidR="004147EC" w:rsidRDefault="004147EC" w:rsidP="0046573A">
            <w:pPr>
              <w:widowControl w:val="0"/>
              <w:outlineLvl w:val="1"/>
              <w:rPr>
                <w:rFonts w:ascii="Callibri" w:eastAsia="Times New Roman" w:hAnsi="Callibri" w:cs="Calibri"/>
                <w:color w:val="365F91"/>
              </w:rPr>
            </w:pPr>
          </w:p>
          <w:p w:rsidR="0046573A" w:rsidRPr="0046573A" w:rsidRDefault="0046573A" w:rsidP="0046573A">
            <w:pPr>
              <w:widowControl w:val="0"/>
              <w:outlineLvl w:val="1"/>
              <w:rPr>
                <w:rFonts w:ascii="Callibri" w:eastAsia="Times New Roman" w:hAnsi="Callibri" w:cs="Calibri"/>
                <w:color w:val="365F91"/>
              </w:rPr>
            </w:pPr>
            <w:r w:rsidRPr="0046573A">
              <w:rPr>
                <w:rFonts w:ascii="Callibri" w:eastAsia="Times New Roman" w:hAnsi="Callibri" w:cs="Calibri"/>
                <w:color w:val="365F91"/>
              </w:rPr>
              <w:t>National Center for Disease Control and Public Health</w:t>
            </w:r>
          </w:p>
          <w:p w:rsidR="0046573A" w:rsidRPr="0046573A" w:rsidRDefault="0046573A" w:rsidP="0046573A">
            <w:pPr>
              <w:widowControl w:val="0"/>
              <w:ind w:left="100"/>
              <w:jc w:val="center"/>
              <w:outlineLvl w:val="1"/>
              <w:rPr>
                <w:rFonts w:ascii="Callibri" w:eastAsia="Times New Roman" w:hAnsi="Callibri" w:cs="Calibri"/>
                <w:color w:val="365F91"/>
              </w:rPr>
            </w:pPr>
            <w:r>
              <w:rPr>
                <w:rFonts w:ascii="Callibri" w:eastAsia="Times New Roman" w:hAnsi="Callibri" w:cs="Calibri"/>
                <w:color w:val="365F91"/>
              </w:rPr>
              <w:t xml:space="preserve">99, </w:t>
            </w:r>
            <w:r w:rsidRPr="0046573A">
              <w:rPr>
                <w:rFonts w:ascii="Callibri" w:eastAsia="Times New Roman" w:hAnsi="Callibri" w:cs="Calibri"/>
                <w:color w:val="365F91"/>
              </w:rPr>
              <w:t>Kakheti H</w:t>
            </w:r>
            <w:r w:rsidR="00365ADA">
              <w:rPr>
                <w:rFonts w:ascii="Callibri" w:eastAsia="Times New Roman" w:hAnsi="Callibri" w:cs="Calibri"/>
                <w:color w:val="365F91"/>
              </w:rPr>
              <w:t>ighway</w:t>
            </w:r>
            <w:r>
              <w:rPr>
                <w:rFonts w:ascii="Callibri" w:eastAsia="Times New Roman" w:hAnsi="Callibri" w:cs="Calibri"/>
                <w:color w:val="365F91"/>
              </w:rPr>
              <w:t>,</w:t>
            </w:r>
            <w:r w:rsidRPr="0046573A">
              <w:rPr>
                <w:rFonts w:ascii="Callibri" w:eastAsia="Times New Roman" w:hAnsi="Callibri" w:cs="Calibri"/>
                <w:color w:val="365F91"/>
              </w:rPr>
              <w:t xml:space="preserve"> Tbilisi</w:t>
            </w:r>
            <w:r>
              <w:rPr>
                <w:rFonts w:ascii="Callibri" w:eastAsia="Times New Roman" w:hAnsi="Callibri" w:cs="Calibri"/>
                <w:color w:val="365F91"/>
              </w:rPr>
              <w:t xml:space="preserve"> 0198</w:t>
            </w:r>
            <w:r w:rsidRPr="0046573A">
              <w:rPr>
                <w:rFonts w:ascii="Callibri" w:eastAsia="Times New Roman" w:hAnsi="Callibri" w:cs="Calibri"/>
                <w:color w:val="365F91"/>
              </w:rPr>
              <w:t>, Georgia</w:t>
            </w:r>
          </w:p>
          <w:p w:rsidR="0046573A" w:rsidRPr="0046573A" w:rsidRDefault="0046573A" w:rsidP="0046573A">
            <w:pPr>
              <w:spacing w:after="120"/>
              <w:contextualSpacing/>
              <w:jc w:val="center"/>
              <w:rPr>
                <w:rFonts w:ascii="Calibri" w:eastAsia="Calibri" w:hAnsi="Calibri" w:cs="Calibri"/>
                <w:color w:val="365F91"/>
              </w:rPr>
            </w:pPr>
            <w:r w:rsidRPr="0046573A">
              <w:rPr>
                <w:rFonts w:ascii="Callibri" w:eastAsia="Calibri" w:hAnsi="Callibri" w:cs="Calibri"/>
                <w:color w:val="365F91"/>
              </w:rPr>
              <w:t>www.ncdc.ge</w:t>
            </w:r>
          </w:p>
        </w:tc>
      </w:tr>
    </w:tbl>
    <w:p w:rsidR="0046573A" w:rsidRPr="00967693" w:rsidRDefault="0046573A" w:rsidP="0046573A">
      <w:pPr>
        <w:spacing w:after="120" w:line="240" w:lineRule="auto"/>
        <w:contextualSpacing/>
        <w:rPr>
          <w:rFonts w:ascii="Calibri" w:eastAsia="Calibri" w:hAnsi="Calibri" w:cs="Calibri"/>
          <w:color w:val="548DD4"/>
          <w:sz w:val="24"/>
          <w:szCs w:val="24"/>
          <w:lang w:val="en-US"/>
        </w:rPr>
      </w:pPr>
    </w:p>
    <w:sectPr w:rsidR="0046573A" w:rsidRPr="00967693" w:rsidSect="0046573A">
      <w:pgSz w:w="12240" w:h="15840"/>
      <w:pgMar w:top="284" w:right="850" w:bottom="36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lib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9F014F"/>
    <w:multiLevelType w:val="hybridMultilevel"/>
    <w:tmpl w:val="DD42C41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C5B"/>
    <w:rsid w:val="000010A8"/>
    <w:rsid w:val="00030F41"/>
    <w:rsid w:val="00046A6C"/>
    <w:rsid w:val="000472EE"/>
    <w:rsid w:val="000920F6"/>
    <w:rsid w:val="000B0496"/>
    <w:rsid w:val="000E4AB6"/>
    <w:rsid w:val="00131F19"/>
    <w:rsid w:val="00163A9C"/>
    <w:rsid w:val="0017391B"/>
    <w:rsid w:val="00192D5B"/>
    <w:rsid w:val="001A2416"/>
    <w:rsid w:val="001D437B"/>
    <w:rsid w:val="00223EEB"/>
    <w:rsid w:val="002B30FD"/>
    <w:rsid w:val="00334A4F"/>
    <w:rsid w:val="0033649D"/>
    <w:rsid w:val="00351A12"/>
    <w:rsid w:val="00365ADA"/>
    <w:rsid w:val="003C1DA1"/>
    <w:rsid w:val="003D5089"/>
    <w:rsid w:val="003D5408"/>
    <w:rsid w:val="004147EC"/>
    <w:rsid w:val="00454E0C"/>
    <w:rsid w:val="0046573A"/>
    <w:rsid w:val="0048227C"/>
    <w:rsid w:val="004B50EE"/>
    <w:rsid w:val="004C4E0A"/>
    <w:rsid w:val="004C5EA1"/>
    <w:rsid w:val="004D5645"/>
    <w:rsid w:val="004E29C0"/>
    <w:rsid w:val="004E7E10"/>
    <w:rsid w:val="00500EC4"/>
    <w:rsid w:val="00511AC5"/>
    <w:rsid w:val="00513273"/>
    <w:rsid w:val="005227D6"/>
    <w:rsid w:val="00522E02"/>
    <w:rsid w:val="005A2A0F"/>
    <w:rsid w:val="005B3DAB"/>
    <w:rsid w:val="005D7F86"/>
    <w:rsid w:val="005E4400"/>
    <w:rsid w:val="00637AE0"/>
    <w:rsid w:val="0065575F"/>
    <w:rsid w:val="006C3B2B"/>
    <w:rsid w:val="007231C5"/>
    <w:rsid w:val="00753D34"/>
    <w:rsid w:val="007A13CE"/>
    <w:rsid w:val="007D6030"/>
    <w:rsid w:val="008163F6"/>
    <w:rsid w:val="008407F3"/>
    <w:rsid w:val="008415BB"/>
    <w:rsid w:val="00852EAB"/>
    <w:rsid w:val="00871D4E"/>
    <w:rsid w:val="00884569"/>
    <w:rsid w:val="00886187"/>
    <w:rsid w:val="008D2CF2"/>
    <w:rsid w:val="00922C5B"/>
    <w:rsid w:val="00926C8C"/>
    <w:rsid w:val="00967693"/>
    <w:rsid w:val="00986548"/>
    <w:rsid w:val="009C388C"/>
    <w:rsid w:val="009F29A7"/>
    <w:rsid w:val="00A03761"/>
    <w:rsid w:val="00A44014"/>
    <w:rsid w:val="00AC79CC"/>
    <w:rsid w:val="00AD38ED"/>
    <w:rsid w:val="00B24B96"/>
    <w:rsid w:val="00B367B7"/>
    <w:rsid w:val="00B60AE6"/>
    <w:rsid w:val="00B863B6"/>
    <w:rsid w:val="00B87480"/>
    <w:rsid w:val="00C14CFC"/>
    <w:rsid w:val="00C4100A"/>
    <w:rsid w:val="00CB4BCC"/>
    <w:rsid w:val="00D66558"/>
    <w:rsid w:val="00D7776C"/>
    <w:rsid w:val="00DC0441"/>
    <w:rsid w:val="00E302DA"/>
    <w:rsid w:val="00E3310D"/>
    <w:rsid w:val="00E43D8E"/>
    <w:rsid w:val="00E90AA5"/>
    <w:rsid w:val="00E96E70"/>
    <w:rsid w:val="00F07274"/>
    <w:rsid w:val="00F14456"/>
    <w:rsid w:val="00F14C45"/>
    <w:rsid w:val="00F324CE"/>
    <w:rsid w:val="00F6755E"/>
    <w:rsid w:val="00FA11FF"/>
    <w:rsid w:val="00FB3C07"/>
    <w:rsid w:val="00FE070E"/>
    <w:rsid w:val="00FF52D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E2E93-6CF3-42FA-AC3D-28A85BC53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FF52D7"/>
    <w:pPr>
      <w:widowControl w:val="0"/>
      <w:spacing w:after="0" w:line="240" w:lineRule="auto"/>
      <w:ind w:left="100"/>
      <w:outlineLvl w:val="1"/>
    </w:pPr>
    <w:rPr>
      <w:rFonts w:ascii="Times New Roman" w:eastAsia="Times New Roman" w:hAnsi="Times New Roman"/>
      <w:b/>
      <w:bCs/>
      <w:i/>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FF52D7"/>
    <w:rPr>
      <w:rFonts w:ascii="Times New Roman" w:eastAsia="Times New Roman" w:hAnsi="Times New Roman"/>
      <w:b/>
      <w:bCs/>
      <w:i/>
      <w:sz w:val="24"/>
      <w:szCs w:val="24"/>
      <w:lang w:val="en-US"/>
    </w:rPr>
  </w:style>
  <w:style w:type="table" w:styleId="TableGrid">
    <w:name w:val="Table Grid"/>
    <w:basedOn w:val="TableNormal"/>
    <w:uiPriority w:val="59"/>
    <w:rsid w:val="0096769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657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7F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F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Elene Godziashvili</dc:creator>
  <cp:keywords/>
  <dc:description/>
  <cp:lastModifiedBy>Elene Godziashvili</cp:lastModifiedBy>
  <cp:revision>3</cp:revision>
  <cp:lastPrinted>2019-05-15T12:35:00Z</cp:lastPrinted>
  <dcterms:created xsi:type="dcterms:W3CDTF">2019-05-15T11:57:00Z</dcterms:created>
  <dcterms:modified xsi:type="dcterms:W3CDTF">2019-05-15T12:51:00Z</dcterms:modified>
</cp:coreProperties>
</file>